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50C17818">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2DCC8C84"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3DEEC669" w14:textId="255A2698" w:rsidR="00ED16EC" w:rsidRPr="00136C3C" w:rsidRDefault="000E1037" w:rsidP="00ED16EC">
      <w:pPr>
        <w:jc w:val="center"/>
        <w:rPr>
          <w:rFonts w:cs="Arial"/>
          <w:sz w:val="160"/>
          <w:szCs w:val="48"/>
        </w:rPr>
      </w:pPr>
      <w:r w:rsidRPr="00136C3C">
        <w:rPr>
          <w:sz w:val="48"/>
          <w:szCs w:val="52"/>
        </w:rPr>
        <w:t>Administration of Subcutaneous Methotrexate for Inflammatory Arthritis in Adults</w:t>
      </w:r>
    </w:p>
    <w:p w14:paraId="1B79907A" w14:textId="77777777" w:rsidR="000E1037" w:rsidRDefault="000E1037" w:rsidP="00ED16EC">
      <w:pPr>
        <w:jc w:val="center"/>
        <w:rPr>
          <w:rFonts w:cs="Arial"/>
          <w:sz w:val="52"/>
          <w:szCs w:val="52"/>
        </w:rPr>
      </w:pPr>
    </w:p>
    <w:p w14:paraId="0391AE51" w14:textId="56EE9FE9" w:rsidR="00DA54D2" w:rsidRDefault="00DA54D2" w:rsidP="00ED16EC">
      <w:pPr>
        <w:jc w:val="center"/>
        <w:rPr>
          <w:rFonts w:cs="Arial"/>
          <w:sz w:val="52"/>
          <w:szCs w:val="52"/>
        </w:rPr>
      </w:pPr>
      <w:r w:rsidRPr="00036244">
        <w:rPr>
          <w:rFonts w:cs="Arial"/>
          <w:sz w:val="52"/>
          <w:szCs w:val="52"/>
        </w:rPr>
        <w:t>Date</w:t>
      </w:r>
      <w:r w:rsidR="008A2A20" w:rsidRPr="00036244">
        <w:rPr>
          <w:rFonts w:cs="Arial"/>
          <w:sz w:val="52"/>
          <w:szCs w:val="52"/>
        </w:rPr>
        <w:t xml:space="preserve"> Approved</w:t>
      </w:r>
    </w:p>
    <w:p w14:paraId="1FAB209E" w14:textId="5AF38DCA" w:rsidR="006F4213" w:rsidRPr="00036244" w:rsidRDefault="006F4213" w:rsidP="00ED16EC">
      <w:pPr>
        <w:jc w:val="center"/>
        <w:rPr>
          <w:rFonts w:cs="Arial"/>
          <w:sz w:val="52"/>
          <w:szCs w:val="52"/>
        </w:rPr>
      </w:pPr>
      <w:r>
        <w:rPr>
          <w:rFonts w:cs="Arial"/>
          <w:sz w:val="52"/>
          <w:szCs w:val="52"/>
        </w:rPr>
        <w:t>January 2025</w:t>
      </w:r>
    </w:p>
    <w:p w14:paraId="049F31CB" w14:textId="77777777" w:rsidR="00DA54D2" w:rsidRDefault="00DA54D2" w:rsidP="00ED16EC">
      <w:pPr>
        <w:rPr>
          <w:rFonts w:cs="Arial"/>
          <w:szCs w:val="22"/>
        </w:rPr>
      </w:pP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7612898E">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7612898E">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auto"/>
            <w:vAlign w:val="center"/>
          </w:tcPr>
          <w:p w14:paraId="62486C05" w14:textId="1A829766" w:rsidR="008A2A20" w:rsidRPr="00B003B0" w:rsidRDefault="00F0062C" w:rsidP="00AD297C">
            <w:pPr>
              <w:spacing w:after="120"/>
              <w:jc w:val="left"/>
              <w:rPr>
                <w:rFonts w:cs="Arial"/>
                <w:i/>
                <w:iCs/>
              </w:rPr>
            </w:pPr>
            <w:r>
              <w:t>Administration of Subcutaneous Methotrexate for Inflammatory Arthritis in Adults</w:t>
            </w:r>
          </w:p>
        </w:tc>
      </w:tr>
      <w:tr w:rsidR="008A2A20" w:rsidRPr="00C749F0" w14:paraId="5B1C6DB4" w14:textId="77777777" w:rsidTr="7612898E">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687C716E" w:rsidR="008A2A20" w:rsidRPr="00FB2770" w:rsidRDefault="007A3692" w:rsidP="00FB2770">
            <w:pPr>
              <w:spacing w:after="120"/>
              <w:jc w:val="left"/>
              <w:rPr>
                <w:rFonts w:cs="Arial"/>
                <w:highlight w:val="yellow"/>
              </w:rPr>
            </w:pPr>
            <w:r w:rsidRPr="00FB2770">
              <w:rPr>
                <w:rFonts w:cs="Arial"/>
              </w:rPr>
              <w:t>Adapted from FNHC Policy</w:t>
            </w:r>
            <w:r w:rsidR="00D90A3C">
              <w:rPr>
                <w:rFonts w:cs="Arial"/>
              </w:rPr>
              <w:t xml:space="preserve"> (now retired)</w:t>
            </w:r>
            <w:r w:rsidRPr="00FB2770">
              <w:rPr>
                <w:rFonts w:cs="Arial"/>
              </w:rPr>
              <w:t xml:space="preserve"> “</w:t>
            </w:r>
            <w:r w:rsidR="00A45914" w:rsidRPr="00FB2770">
              <w:rPr>
                <w:i/>
                <w:iCs/>
              </w:rPr>
              <w:t>Policy and Standard Operating Procedures for the Administration of Subcutaneous Methotrexate for Inflammatory Arthritis in Adults</w:t>
            </w:r>
            <w:r w:rsidR="00A45914" w:rsidRPr="00FB2770">
              <w:t xml:space="preserve">” by </w:t>
            </w:r>
            <w:r w:rsidR="00AD297C" w:rsidRPr="00FB2770">
              <w:rPr>
                <w:rFonts w:cs="Arial"/>
              </w:rPr>
              <w:t>Rachel Foster – Quality &amp; Performance Development Nurse</w:t>
            </w:r>
          </w:p>
        </w:tc>
      </w:tr>
      <w:tr w:rsidR="008A2A20" w:rsidRPr="00C749F0" w14:paraId="00E9C15C" w14:textId="77777777" w:rsidTr="7612898E">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78619449" w:rsidR="008A2A20" w:rsidRPr="004137F6" w:rsidRDefault="00FB2770" w:rsidP="7612898E">
            <w:pPr>
              <w:spacing w:after="120"/>
              <w:rPr>
                <w:rFonts w:cs="Arial"/>
              </w:rPr>
            </w:pPr>
            <w:r>
              <w:rPr>
                <w:rFonts w:cs="Arial"/>
              </w:rPr>
              <w:t>Clinical</w:t>
            </w:r>
          </w:p>
        </w:tc>
      </w:tr>
      <w:tr w:rsidR="00FA7097" w:rsidRPr="00C749F0" w14:paraId="6B814A1E" w14:textId="77777777" w:rsidTr="7612898E">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5282A6A2" w:rsidR="00FA7097" w:rsidRPr="005230C3" w:rsidRDefault="00FB2770" w:rsidP="005230C3">
            <w:pPr>
              <w:spacing w:after="120"/>
              <w:rPr>
                <w:rFonts w:cs="Arial"/>
              </w:rPr>
            </w:pPr>
            <w:r>
              <w:rPr>
                <w:rFonts w:cs="Arial"/>
              </w:rPr>
              <w:t>1</w:t>
            </w:r>
          </w:p>
        </w:tc>
      </w:tr>
      <w:tr w:rsidR="008A2A20" w:rsidRPr="00C749F0" w14:paraId="051D9E3C" w14:textId="77777777" w:rsidTr="7612898E">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7612898E">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04CF0EB6" w:rsidR="008A2A20" w:rsidRPr="005230C3" w:rsidRDefault="00EA4DD3" w:rsidP="005230C3">
            <w:pPr>
              <w:spacing w:after="120"/>
              <w:rPr>
                <w:rFonts w:cs="Arial"/>
              </w:rPr>
            </w:pPr>
            <w:r>
              <w:rPr>
                <w:rFonts w:cs="Arial"/>
              </w:rPr>
              <w:t>15/01/2025</w:t>
            </w:r>
          </w:p>
        </w:tc>
      </w:tr>
      <w:tr w:rsidR="008A2A20" w:rsidRPr="00C749F0" w14:paraId="113F5188" w14:textId="77777777" w:rsidTr="7612898E">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05DDB679" w:rsidR="008A2A20" w:rsidRPr="006F4213" w:rsidRDefault="008A2A20" w:rsidP="005230C3">
            <w:pPr>
              <w:spacing w:after="120"/>
              <w:rPr>
                <w:rFonts w:cs="Arial"/>
                <w:iCs/>
              </w:rPr>
            </w:pPr>
            <w:r w:rsidRPr="006F4213">
              <w:rPr>
                <w:rFonts w:cs="Arial"/>
                <w:iCs/>
              </w:rPr>
              <w:t>3</w:t>
            </w:r>
            <w:r w:rsidR="006F4213">
              <w:rPr>
                <w:rFonts w:cs="Arial"/>
                <w:iCs/>
              </w:rPr>
              <w:t xml:space="preserve"> </w:t>
            </w:r>
            <w:r w:rsidRPr="006F4213">
              <w:rPr>
                <w:rFonts w:cs="Arial"/>
                <w:iCs/>
              </w:rPr>
              <w:t>years from approval</w:t>
            </w:r>
          </w:p>
        </w:tc>
      </w:tr>
      <w:tr w:rsidR="008A2A20" w:rsidRPr="00C749F0" w14:paraId="4DA30761" w14:textId="77777777" w:rsidTr="7612898E">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134"/>
        <w:gridCol w:w="6634"/>
      </w:tblGrid>
      <w:tr w:rsidR="00D44850" w14:paraId="662A01C3" w14:textId="77777777" w:rsidTr="004A060F">
        <w:tc>
          <w:tcPr>
            <w:tcW w:w="1129" w:type="dxa"/>
            <w:shd w:val="clear" w:color="auto" w:fill="BFBFBF"/>
          </w:tcPr>
          <w:p w14:paraId="491072FA"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D44850" w14:paraId="1299C43A" w14:textId="77777777" w:rsidTr="00813809">
        <w:tc>
          <w:tcPr>
            <w:tcW w:w="1129" w:type="dxa"/>
            <w:shd w:val="clear" w:color="auto" w:fill="auto"/>
          </w:tcPr>
          <w:p w14:paraId="4DDBEF00" w14:textId="53E29C9F" w:rsidR="00D44850" w:rsidRPr="005230C3" w:rsidRDefault="0035719D" w:rsidP="00ED16EC">
            <w:pPr>
              <w:rPr>
                <w:rFonts w:cs="Arial"/>
              </w:rPr>
            </w:pPr>
            <w:r>
              <w:rPr>
                <w:rFonts w:cs="Arial"/>
              </w:rPr>
              <w:t>16/01/2025</w:t>
            </w:r>
          </w:p>
        </w:tc>
        <w:tc>
          <w:tcPr>
            <w:tcW w:w="1134" w:type="dxa"/>
            <w:shd w:val="clear" w:color="auto" w:fill="auto"/>
            <w:vAlign w:val="center"/>
          </w:tcPr>
          <w:p w14:paraId="3461D779" w14:textId="7612272B" w:rsidR="00D44850" w:rsidRPr="005230C3" w:rsidRDefault="00E811BF" w:rsidP="00813809">
            <w:pPr>
              <w:jc w:val="center"/>
              <w:rPr>
                <w:rFonts w:cs="Arial"/>
              </w:rPr>
            </w:pPr>
            <w:r>
              <w:rPr>
                <w:rFonts w:cs="Arial"/>
              </w:rPr>
              <w:t>1</w:t>
            </w:r>
          </w:p>
        </w:tc>
        <w:tc>
          <w:tcPr>
            <w:tcW w:w="6634" w:type="dxa"/>
            <w:shd w:val="clear" w:color="auto" w:fill="auto"/>
          </w:tcPr>
          <w:p w14:paraId="3CF2D8B6" w14:textId="32384477" w:rsidR="00D44850" w:rsidRPr="005230C3" w:rsidRDefault="00E811BF" w:rsidP="005230C3">
            <w:pPr>
              <w:rPr>
                <w:rFonts w:cs="Arial"/>
              </w:rPr>
            </w:pPr>
            <w:r>
              <w:rPr>
                <w:rFonts w:cs="Arial"/>
              </w:rPr>
              <w:t>New SOP document</w:t>
            </w:r>
          </w:p>
        </w:tc>
      </w:tr>
      <w:tr w:rsidR="00D44850" w14:paraId="0FB78278" w14:textId="77777777" w:rsidTr="00813809">
        <w:tc>
          <w:tcPr>
            <w:tcW w:w="1129" w:type="dxa"/>
            <w:shd w:val="clear" w:color="auto" w:fill="auto"/>
          </w:tcPr>
          <w:p w14:paraId="1FC39945" w14:textId="77777777" w:rsidR="00D44850" w:rsidRPr="005230C3" w:rsidRDefault="00D44850" w:rsidP="00ED16EC">
            <w:pPr>
              <w:rPr>
                <w:rFonts w:cs="Arial"/>
              </w:rPr>
            </w:pPr>
          </w:p>
        </w:tc>
        <w:tc>
          <w:tcPr>
            <w:tcW w:w="1134" w:type="dxa"/>
            <w:shd w:val="clear" w:color="auto" w:fill="auto"/>
            <w:vAlign w:val="center"/>
          </w:tcPr>
          <w:p w14:paraId="0562CB0E" w14:textId="77777777" w:rsidR="00D44850" w:rsidRPr="005230C3" w:rsidRDefault="00D44850" w:rsidP="00813809">
            <w:pPr>
              <w:jc w:val="center"/>
              <w:rPr>
                <w:rFonts w:cs="Arial"/>
              </w:rPr>
            </w:pPr>
          </w:p>
        </w:tc>
        <w:tc>
          <w:tcPr>
            <w:tcW w:w="6634" w:type="dxa"/>
            <w:shd w:val="clear" w:color="auto" w:fill="auto"/>
          </w:tcPr>
          <w:p w14:paraId="34CE0A41" w14:textId="77777777" w:rsidR="00D44850" w:rsidRPr="005230C3" w:rsidRDefault="00D44850" w:rsidP="00ED16EC">
            <w:pPr>
              <w:rPr>
                <w:rFonts w:cs="Arial"/>
              </w:rPr>
            </w:pPr>
          </w:p>
        </w:tc>
      </w:tr>
      <w:tr w:rsidR="00D44850" w14:paraId="62EBF3C5" w14:textId="77777777" w:rsidTr="00813809">
        <w:tc>
          <w:tcPr>
            <w:tcW w:w="1129" w:type="dxa"/>
            <w:shd w:val="clear" w:color="auto" w:fill="auto"/>
          </w:tcPr>
          <w:p w14:paraId="6D98A12B" w14:textId="77777777" w:rsidR="00D44850" w:rsidRPr="005230C3" w:rsidRDefault="00D44850" w:rsidP="00ED16EC">
            <w:pPr>
              <w:rPr>
                <w:rFonts w:cs="Arial"/>
              </w:rPr>
            </w:pPr>
          </w:p>
        </w:tc>
        <w:tc>
          <w:tcPr>
            <w:tcW w:w="1134" w:type="dxa"/>
            <w:shd w:val="clear" w:color="auto" w:fill="auto"/>
            <w:vAlign w:val="center"/>
          </w:tcPr>
          <w:p w14:paraId="2946DB82" w14:textId="77777777" w:rsidR="00D44850" w:rsidRPr="005230C3" w:rsidRDefault="00D44850" w:rsidP="00813809">
            <w:pPr>
              <w:jc w:val="center"/>
              <w:rPr>
                <w:rFonts w:cs="Arial"/>
              </w:rPr>
            </w:pPr>
          </w:p>
        </w:tc>
        <w:tc>
          <w:tcPr>
            <w:tcW w:w="6634" w:type="dxa"/>
            <w:shd w:val="clear" w:color="auto" w:fill="auto"/>
          </w:tcPr>
          <w:p w14:paraId="5997CC1D" w14:textId="77777777" w:rsidR="00D44850" w:rsidRPr="005230C3" w:rsidRDefault="00D44850" w:rsidP="00ED16EC">
            <w:pPr>
              <w:rPr>
                <w:rFonts w:cs="Arial"/>
              </w:rPr>
            </w:pP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17A1DAA8" w14:textId="12F22F69" w:rsidR="007204CC"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4886546" w:history="1">
        <w:r w:rsidR="007204CC" w:rsidRPr="00E019D0">
          <w:rPr>
            <w:rStyle w:val="Hyperlink"/>
            <w:noProof/>
          </w:rPr>
          <w:t>Introduction</w:t>
        </w:r>
        <w:r w:rsidR="007204CC">
          <w:rPr>
            <w:noProof/>
            <w:webHidden/>
          </w:rPr>
          <w:tab/>
        </w:r>
        <w:r w:rsidR="007204CC">
          <w:rPr>
            <w:noProof/>
            <w:webHidden/>
          </w:rPr>
          <w:fldChar w:fldCharType="begin"/>
        </w:r>
        <w:r w:rsidR="007204CC">
          <w:rPr>
            <w:noProof/>
            <w:webHidden/>
          </w:rPr>
          <w:instrText xml:space="preserve"> PAGEREF _Toc184886546 \h </w:instrText>
        </w:r>
        <w:r w:rsidR="007204CC">
          <w:rPr>
            <w:noProof/>
            <w:webHidden/>
          </w:rPr>
        </w:r>
        <w:r w:rsidR="007204CC">
          <w:rPr>
            <w:noProof/>
            <w:webHidden/>
          </w:rPr>
          <w:fldChar w:fldCharType="separate"/>
        </w:r>
        <w:r w:rsidR="007204CC">
          <w:rPr>
            <w:noProof/>
            <w:webHidden/>
          </w:rPr>
          <w:t>4</w:t>
        </w:r>
        <w:r w:rsidR="007204CC">
          <w:rPr>
            <w:noProof/>
            <w:webHidden/>
          </w:rPr>
          <w:fldChar w:fldCharType="end"/>
        </w:r>
      </w:hyperlink>
    </w:p>
    <w:p w14:paraId="374E0AA4" w14:textId="1584D60F"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47" w:history="1">
        <w:r w:rsidRPr="00E019D0">
          <w:rPr>
            <w:rStyle w:val="Hyperlink"/>
            <w:noProof/>
          </w:rPr>
          <w:t>SOP 1 Communication with Relevant Healthcare Professionals</w:t>
        </w:r>
        <w:r>
          <w:rPr>
            <w:noProof/>
            <w:webHidden/>
          </w:rPr>
          <w:tab/>
        </w:r>
        <w:r>
          <w:rPr>
            <w:noProof/>
            <w:webHidden/>
          </w:rPr>
          <w:fldChar w:fldCharType="begin"/>
        </w:r>
        <w:r>
          <w:rPr>
            <w:noProof/>
            <w:webHidden/>
          </w:rPr>
          <w:instrText xml:space="preserve"> PAGEREF _Toc184886547 \h </w:instrText>
        </w:r>
        <w:r>
          <w:rPr>
            <w:noProof/>
            <w:webHidden/>
          </w:rPr>
        </w:r>
        <w:r>
          <w:rPr>
            <w:noProof/>
            <w:webHidden/>
          </w:rPr>
          <w:fldChar w:fldCharType="separate"/>
        </w:r>
        <w:r>
          <w:rPr>
            <w:noProof/>
            <w:webHidden/>
          </w:rPr>
          <w:t>5</w:t>
        </w:r>
        <w:r>
          <w:rPr>
            <w:noProof/>
            <w:webHidden/>
          </w:rPr>
          <w:fldChar w:fldCharType="end"/>
        </w:r>
      </w:hyperlink>
    </w:p>
    <w:p w14:paraId="47FB047A" w14:textId="241FE8F6"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48" w:history="1">
        <w:r w:rsidRPr="00E019D0">
          <w:rPr>
            <w:rStyle w:val="Hyperlink"/>
            <w:noProof/>
          </w:rPr>
          <w:t>SOP 2 Preparing for the Administration</w:t>
        </w:r>
        <w:r>
          <w:rPr>
            <w:noProof/>
            <w:webHidden/>
          </w:rPr>
          <w:tab/>
        </w:r>
        <w:r>
          <w:rPr>
            <w:noProof/>
            <w:webHidden/>
          </w:rPr>
          <w:fldChar w:fldCharType="begin"/>
        </w:r>
        <w:r>
          <w:rPr>
            <w:noProof/>
            <w:webHidden/>
          </w:rPr>
          <w:instrText xml:space="preserve"> PAGEREF _Toc184886548 \h </w:instrText>
        </w:r>
        <w:r>
          <w:rPr>
            <w:noProof/>
            <w:webHidden/>
          </w:rPr>
        </w:r>
        <w:r>
          <w:rPr>
            <w:noProof/>
            <w:webHidden/>
          </w:rPr>
          <w:fldChar w:fldCharType="separate"/>
        </w:r>
        <w:r>
          <w:rPr>
            <w:noProof/>
            <w:webHidden/>
          </w:rPr>
          <w:t>7</w:t>
        </w:r>
        <w:r>
          <w:rPr>
            <w:noProof/>
            <w:webHidden/>
          </w:rPr>
          <w:fldChar w:fldCharType="end"/>
        </w:r>
      </w:hyperlink>
    </w:p>
    <w:p w14:paraId="03E7A06E" w14:textId="7E188680"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49" w:history="1">
        <w:r w:rsidRPr="00E019D0">
          <w:rPr>
            <w:rStyle w:val="Hyperlink"/>
            <w:noProof/>
          </w:rPr>
          <w:t>SOP 3 Administering methotrexate using autoinjector pre-filled PENs</w:t>
        </w:r>
        <w:r>
          <w:rPr>
            <w:noProof/>
            <w:webHidden/>
          </w:rPr>
          <w:tab/>
        </w:r>
        <w:r>
          <w:rPr>
            <w:noProof/>
            <w:webHidden/>
          </w:rPr>
          <w:fldChar w:fldCharType="begin"/>
        </w:r>
        <w:r>
          <w:rPr>
            <w:noProof/>
            <w:webHidden/>
          </w:rPr>
          <w:instrText xml:space="preserve"> PAGEREF _Toc184886549 \h </w:instrText>
        </w:r>
        <w:r>
          <w:rPr>
            <w:noProof/>
            <w:webHidden/>
          </w:rPr>
        </w:r>
        <w:r>
          <w:rPr>
            <w:noProof/>
            <w:webHidden/>
          </w:rPr>
          <w:fldChar w:fldCharType="separate"/>
        </w:r>
        <w:r>
          <w:rPr>
            <w:noProof/>
            <w:webHidden/>
          </w:rPr>
          <w:t>9</w:t>
        </w:r>
        <w:r>
          <w:rPr>
            <w:noProof/>
            <w:webHidden/>
          </w:rPr>
          <w:fldChar w:fldCharType="end"/>
        </w:r>
      </w:hyperlink>
    </w:p>
    <w:p w14:paraId="680242D9" w14:textId="6446847A"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50" w:history="1">
        <w:r w:rsidRPr="00E019D0">
          <w:rPr>
            <w:rStyle w:val="Hyperlink"/>
            <w:noProof/>
          </w:rPr>
          <w:t>SOP 4 Disposal of equipment following administration of subcutaneous methotrexate</w:t>
        </w:r>
        <w:r>
          <w:rPr>
            <w:noProof/>
            <w:webHidden/>
          </w:rPr>
          <w:tab/>
        </w:r>
        <w:r>
          <w:rPr>
            <w:noProof/>
            <w:webHidden/>
          </w:rPr>
          <w:fldChar w:fldCharType="begin"/>
        </w:r>
        <w:r>
          <w:rPr>
            <w:noProof/>
            <w:webHidden/>
          </w:rPr>
          <w:instrText xml:space="preserve"> PAGEREF _Toc184886550 \h </w:instrText>
        </w:r>
        <w:r>
          <w:rPr>
            <w:noProof/>
            <w:webHidden/>
          </w:rPr>
        </w:r>
        <w:r>
          <w:rPr>
            <w:noProof/>
            <w:webHidden/>
          </w:rPr>
          <w:fldChar w:fldCharType="separate"/>
        </w:r>
        <w:r>
          <w:rPr>
            <w:noProof/>
            <w:webHidden/>
          </w:rPr>
          <w:t>11</w:t>
        </w:r>
        <w:r>
          <w:rPr>
            <w:noProof/>
            <w:webHidden/>
          </w:rPr>
          <w:fldChar w:fldCharType="end"/>
        </w:r>
      </w:hyperlink>
    </w:p>
    <w:p w14:paraId="39CB6316" w14:textId="270FEFCE"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51" w:history="1">
        <w:r w:rsidRPr="00E019D0">
          <w:rPr>
            <w:rStyle w:val="Hyperlink"/>
            <w:noProof/>
          </w:rPr>
          <w:t>SOP 5 Dealing with Spillage</w:t>
        </w:r>
        <w:r>
          <w:rPr>
            <w:noProof/>
            <w:webHidden/>
          </w:rPr>
          <w:tab/>
        </w:r>
        <w:r>
          <w:rPr>
            <w:noProof/>
            <w:webHidden/>
          </w:rPr>
          <w:fldChar w:fldCharType="begin"/>
        </w:r>
        <w:r>
          <w:rPr>
            <w:noProof/>
            <w:webHidden/>
          </w:rPr>
          <w:instrText xml:space="preserve"> PAGEREF _Toc184886551 \h </w:instrText>
        </w:r>
        <w:r>
          <w:rPr>
            <w:noProof/>
            <w:webHidden/>
          </w:rPr>
        </w:r>
        <w:r>
          <w:rPr>
            <w:noProof/>
            <w:webHidden/>
          </w:rPr>
          <w:fldChar w:fldCharType="separate"/>
        </w:r>
        <w:r>
          <w:rPr>
            <w:noProof/>
            <w:webHidden/>
          </w:rPr>
          <w:t>12</w:t>
        </w:r>
        <w:r>
          <w:rPr>
            <w:noProof/>
            <w:webHidden/>
          </w:rPr>
          <w:fldChar w:fldCharType="end"/>
        </w:r>
      </w:hyperlink>
    </w:p>
    <w:p w14:paraId="4AA51E2E" w14:textId="0505ED40"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52" w:history="1">
        <w:r w:rsidRPr="00E019D0">
          <w:rPr>
            <w:rStyle w:val="Hyperlink"/>
            <w:noProof/>
          </w:rPr>
          <w:t>SOP 6 Recording the administration of subcutaneous methotrexate</w:t>
        </w:r>
        <w:r>
          <w:rPr>
            <w:noProof/>
            <w:webHidden/>
          </w:rPr>
          <w:tab/>
        </w:r>
        <w:r>
          <w:rPr>
            <w:noProof/>
            <w:webHidden/>
          </w:rPr>
          <w:fldChar w:fldCharType="begin"/>
        </w:r>
        <w:r>
          <w:rPr>
            <w:noProof/>
            <w:webHidden/>
          </w:rPr>
          <w:instrText xml:space="preserve"> PAGEREF _Toc184886552 \h </w:instrText>
        </w:r>
        <w:r>
          <w:rPr>
            <w:noProof/>
            <w:webHidden/>
          </w:rPr>
        </w:r>
        <w:r>
          <w:rPr>
            <w:noProof/>
            <w:webHidden/>
          </w:rPr>
          <w:fldChar w:fldCharType="separate"/>
        </w:r>
        <w:r>
          <w:rPr>
            <w:noProof/>
            <w:webHidden/>
          </w:rPr>
          <w:t>14</w:t>
        </w:r>
        <w:r>
          <w:rPr>
            <w:noProof/>
            <w:webHidden/>
          </w:rPr>
          <w:fldChar w:fldCharType="end"/>
        </w:r>
      </w:hyperlink>
    </w:p>
    <w:p w14:paraId="3B83A6B9" w14:textId="63A88D9B"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53" w:history="1">
        <w:r w:rsidRPr="00E019D0">
          <w:rPr>
            <w:rStyle w:val="Hyperlink"/>
            <w:noProof/>
          </w:rPr>
          <w:t>References</w:t>
        </w:r>
        <w:r>
          <w:rPr>
            <w:noProof/>
            <w:webHidden/>
          </w:rPr>
          <w:tab/>
        </w:r>
        <w:r>
          <w:rPr>
            <w:noProof/>
            <w:webHidden/>
          </w:rPr>
          <w:fldChar w:fldCharType="begin"/>
        </w:r>
        <w:r>
          <w:rPr>
            <w:noProof/>
            <w:webHidden/>
          </w:rPr>
          <w:instrText xml:space="preserve"> PAGEREF _Toc184886553 \h </w:instrText>
        </w:r>
        <w:r>
          <w:rPr>
            <w:noProof/>
            <w:webHidden/>
          </w:rPr>
        </w:r>
        <w:r>
          <w:rPr>
            <w:noProof/>
            <w:webHidden/>
          </w:rPr>
          <w:fldChar w:fldCharType="separate"/>
        </w:r>
        <w:r>
          <w:rPr>
            <w:noProof/>
            <w:webHidden/>
          </w:rPr>
          <w:t>15</w:t>
        </w:r>
        <w:r>
          <w:rPr>
            <w:noProof/>
            <w:webHidden/>
          </w:rPr>
          <w:fldChar w:fldCharType="end"/>
        </w:r>
      </w:hyperlink>
    </w:p>
    <w:p w14:paraId="449FE325" w14:textId="74ED311C"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54" w:history="1">
        <w:r w:rsidRPr="00E019D0">
          <w:rPr>
            <w:rStyle w:val="Hyperlink"/>
            <w:noProof/>
          </w:rPr>
          <w:t>Appendix 1.  Practitioner Competency Checklist - Methotrexate</w:t>
        </w:r>
        <w:r>
          <w:rPr>
            <w:noProof/>
            <w:webHidden/>
          </w:rPr>
          <w:tab/>
        </w:r>
        <w:r>
          <w:rPr>
            <w:noProof/>
            <w:webHidden/>
          </w:rPr>
          <w:fldChar w:fldCharType="begin"/>
        </w:r>
        <w:r>
          <w:rPr>
            <w:noProof/>
            <w:webHidden/>
          </w:rPr>
          <w:instrText xml:space="preserve"> PAGEREF _Toc184886554 \h </w:instrText>
        </w:r>
        <w:r>
          <w:rPr>
            <w:noProof/>
            <w:webHidden/>
          </w:rPr>
        </w:r>
        <w:r>
          <w:rPr>
            <w:noProof/>
            <w:webHidden/>
          </w:rPr>
          <w:fldChar w:fldCharType="separate"/>
        </w:r>
        <w:r>
          <w:rPr>
            <w:noProof/>
            <w:webHidden/>
          </w:rPr>
          <w:t>16</w:t>
        </w:r>
        <w:r>
          <w:rPr>
            <w:noProof/>
            <w:webHidden/>
          </w:rPr>
          <w:fldChar w:fldCharType="end"/>
        </w:r>
      </w:hyperlink>
    </w:p>
    <w:p w14:paraId="44D9D769" w14:textId="186D6B08" w:rsidR="007204CC" w:rsidRDefault="007204CC">
      <w:pPr>
        <w:pStyle w:val="TOC1"/>
        <w:tabs>
          <w:tab w:val="right" w:leader="dot" w:pos="9350"/>
        </w:tabs>
        <w:rPr>
          <w:rFonts w:asciiTheme="minorHAnsi" w:eastAsiaTheme="minorEastAsia" w:hAnsiTheme="minorHAnsi" w:cstheme="minorBidi"/>
          <w:noProof/>
          <w:kern w:val="2"/>
          <w:sz w:val="24"/>
          <w14:ligatures w14:val="standardContextual"/>
        </w:rPr>
      </w:pPr>
      <w:hyperlink w:anchor="_Toc184886555" w:history="1">
        <w:r w:rsidRPr="00E019D0">
          <w:rPr>
            <w:rStyle w:val="Hyperlink"/>
            <w:noProof/>
          </w:rPr>
          <w:t>Appendix 2.  Subcutaneous Methotrexate Administration Checklist</w:t>
        </w:r>
        <w:r>
          <w:rPr>
            <w:noProof/>
            <w:webHidden/>
          </w:rPr>
          <w:tab/>
        </w:r>
        <w:r>
          <w:rPr>
            <w:noProof/>
            <w:webHidden/>
          </w:rPr>
          <w:fldChar w:fldCharType="begin"/>
        </w:r>
        <w:r>
          <w:rPr>
            <w:noProof/>
            <w:webHidden/>
          </w:rPr>
          <w:instrText xml:space="preserve"> PAGEREF _Toc184886555 \h </w:instrText>
        </w:r>
        <w:r>
          <w:rPr>
            <w:noProof/>
            <w:webHidden/>
          </w:rPr>
        </w:r>
        <w:r>
          <w:rPr>
            <w:noProof/>
            <w:webHidden/>
          </w:rPr>
          <w:fldChar w:fldCharType="separate"/>
        </w:r>
        <w:r>
          <w:rPr>
            <w:noProof/>
            <w:webHidden/>
          </w:rPr>
          <w:t>18</w:t>
        </w:r>
        <w:r>
          <w:rPr>
            <w:noProof/>
            <w:webHidden/>
          </w:rPr>
          <w:fldChar w:fldCharType="end"/>
        </w:r>
      </w:hyperlink>
    </w:p>
    <w:p w14:paraId="087A63B7" w14:textId="7429B03B" w:rsidR="009B2BAA" w:rsidRPr="009B2BAA" w:rsidRDefault="001D4AF4" w:rsidP="006613FD">
      <w:pPr>
        <w:rPr>
          <w:rFonts w:cs="Arial"/>
          <w:i/>
          <w:szCs w:val="22"/>
        </w:rPr>
      </w:pPr>
      <w:r>
        <w:rPr>
          <w:b/>
          <w:bCs/>
          <w:noProof/>
        </w:rPr>
        <w:fldChar w:fldCharType="end"/>
      </w:r>
    </w:p>
    <w:p w14:paraId="1F72F646" w14:textId="77777777" w:rsidR="009B2BAA" w:rsidRDefault="009B2BAA" w:rsidP="00ED16EC">
      <w:pPr>
        <w:rPr>
          <w:rFonts w:cs="Arial"/>
          <w:szCs w:val="22"/>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77777777" w:rsidR="00DA54D2" w:rsidRPr="00021A60" w:rsidRDefault="006979D0" w:rsidP="00ED16EC">
      <w:pPr>
        <w:pStyle w:val="Heading1"/>
        <w:rPr>
          <w:b w:val="0"/>
          <w:szCs w:val="28"/>
        </w:rPr>
      </w:pPr>
      <w:bookmarkStart w:id="0" w:name="_Toc184886546"/>
      <w:r w:rsidRPr="00021A60">
        <w:rPr>
          <w:sz w:val="28"/>
        </w:rPr>
        <w:lastRenderedPageBreak/>
        <w:t>Introduction</w:t>
      </w:r>
      <w:bookmarkEnd w:id="0"/>
    </w:p>
    <w:p w14:paraId="08147E4F" w14:textId="359A3253" w:rsidR="0076267C" w:rsidRDefault="00442435" w:rsidP="0076267C">
      <w:pPr>
        <w:rPr>
          <w:rFonts w:cs="Arial"/>
          <w:szCs w:val="22"/>
        </w:rPr>
      </w:pPr>
      <w:r w:rsidRPr="00442435">
        <w:rPr>
          <w:rFonts w:cs="Arial"/>
          <w:szCs w:val="22"/>
        </w:rPr>
        <w:t>Methotrexate, developed in the 1940s as a folic acid antagonist, is a cytotoxic drug that, in low weekly doses, has become the cornerstone of arthritis management over the past 30 years. Early and rapid dose escalation is essential to achieve optimal disease control, and it is considered a first-line treatment for inflammatory conditions unless contraindicated. While debate exists over its cytotoxic nature at low doses, it is widely recognised as safe, well-tolerated, and effective, with strong evidence demonstrating its ability to slow disease progression, preserve function, and enhance outcomes when used in combination with other</w:t>
      </w:r>
      <w:r w:rsidR="006D3FD9">
        <w:rPr>
          <w:rFonts w:cs="Arial"/>
          <w:szCs w:val="22"/>
        </w:rPr>
        <w:t xml:space="preserve"> </w:t>
      </w:r>
      <w:r w:rsidR="006D3FD9" w:rsidRPr="006D3FD9">
        <w:rPr>
          <w:rFonts w:cs="Arial"/>
          <w:szCs w:val="22"/>
        </w:rPr>
        <w:t>Disease-Modifying Antirheumatic Drugs</w:t>
      </w:r>
      <w:r w:rsidRPr="00442435">
        <w:rPr>
          <w:rFonts w:cs="Arial"/>
          <w:szCs w:val="22"/>
        </w:rPr>
        <w:t xml:space="preserve"> </w:t>
      </w:r>
      <w:r w:rsidR="006D3FD9">
        <w:rPr>
          <w:rFonts w:cs="Arial"/>
          <w:szCs w:val="22"/>
        </w:rPr>
        <w:t>(</w:t>
      </w:r>
      <w:r w:rsidRPr="00442435">
        <w:rPr>
          <w:rFonts w:cs="Arial"/>
          <w:szCs w:val="22"/>
        </w:rPr>
        <w:t>DMARDs</w:t>
      </w:r>
      <w:r w:rsidR="006D3FD9">
        <w:rPr>
          <w:rFonts w:cs="Arial"/>
          <w:szCs w:val="22"/>
        </w:rPr>
        <w:t>)</w:t>
      </w:r>
      <w:r w:rsidRPr="00442435">
        <w:rPr>
          <w:rFonts w:cs="Arial"/>
          <w:szCs w:val="22"/>
        </w:rPr>
        <w:t xml:space="preserve"> or biologic therapies.</w:t>
      </w:r>
      <w:r>
        <w:rPr>
          <w:rFonts w:cs="Arial"/>
          <w:szCs w:val="22"/>
        </w:rPr>
        <w:t xml:space="preserve"> (R</w:t>
      </w:r>
      <w:r w:rsidR="00114911">
        <w:rPr>
          <w:rFonts w:cs="Arial"/>
          <w:szCs w:val="22"/>
        </w:rPr>
        <w:t xml:space="preserve">oyal </w:t>
      </w:r>
      <w:r>
        <w:rPr>
          <w:rFonts w:cs="Arial"/>
          <w:szCs w:val="22"/>
        </w:rPr>
        <w:t>C</w:t>
      </w:r>
      <w:r w:rsidR="00114911">
        <w:rPr>
          <w:rFonts w:cs="Arial"/>
          <w:szCs w:val="22"/>
        </w:rPr>
        <w:t xml:space="preserve">ollege of </w:t>
      </w:r>
      <w:r>
        <w:rPr>
          <w:rFonts w:cs="Arial"/>
          <w:szCs w:val="22"/>
        </w:rPr>
        <w:t>N</w:t>
      </w:r>
      <w:r w:rsidR="00114911">
        <w:rPr>
          <w:rFonts w:cs="Arial"/>
          <w:szCs w:val="22"/>
        </w:rPr>
        <w:t>ursing</w:t>
      </w:r>
      <w:r>
        <w:rPr>
          <w:rFonts w:cs="Arial"/>
          <w:szCs w:val="22"/>
        </w:rPr>
        <w:t xml:space="preserve"> 2021)</w:t>
      </w:r>
    </w:p>
    <w:p w14:paraId="029DC4AF" w14:textId="77777777" w:rsidR="00442435" w:rsidRPr="0076267C" w:rsidRDefault="00442435" w:rsidP="0076267C">
      <w:pPr>
        <w:rPr>
          <w:rFonts w:cs="Arial"/>
          <w:szCs w:val="22"/>
        </w:rPr>
      </w:pPr>
    </w:p>
    <w:p w14:paraId="153E52CD" w14:textId="2CB53558" w:rsidR="0076267C" w:rsidRPr="0076267C" w:rsidRDefault="0076267C" w:rsidP="0076267C">
      <w:pPr>
        <w:rPr>
          <w:rFonts w:cs="Arial"/>
          <w:szCs w:val="22"/>
        </w:rPr>
      </w:pPr>
      <w:r w:rsidRPr="0076267C">
        <w:rPr>
          <w:rFonts w:cs="Arial"/>
          <w:szCs w:val="22"/>
        </w:rPr>
        <w:t>Family Nursing &amp; Home Care (FNHC) acknowledges the</w:t>
      </w:r>
      <w:r w:rsidR="00D204F4">
        <w:rPr>
          <w:rFonts w:cs="Arial"/>
          <w:szCs w:val="22"/>
        </w:rPr>
        <w:t xml:space="preserve"> </w:t>
      </w:r>
      <w:r w:rsidRPr="0076267C">
        <w:rPr>
          <w:rFonts w:cs="Arial"/>
          <w:szCs w:val="22"/>
        </w:rPr>
        <w:t>responsibilities associated with the administration of subcutaneous methotrexate. FNHC adheres to the Royal College of Nursing’s (RCN) guidelines to ensure that all patients receive care that aligns with current best practices while prioriti</w:t>
      </w:r>
      <w:r w:rsidR="00D204F4">
        <w:rPr>
          <w:rFonts w:cs="Arial"/>
          <w:szCs w:val="22"/>
        </w:rPr>
        <w:t>s</w:t>
      </w:r>
      <w:r w:rsidRPr="0076267C">
        <w:rPr>
          <w:rFonts w:cs="Arial"/>
          <w:szCs w:val="22"/>
        </w:rPr>
        <w:t>ing patient safety. This SOP document provides a structured framework to assist FNHC Nurses in the safe and effective administration of subcutaneous methotrexate injections. It also supports nurses in empowering patients and/or their carers to administer the medication at home confidently and safely.</w:t>
      </w:r>
    </w:p>
    <w:p w14:paraId="12FB3B7F" w14:textId="77777777" w:rsidR="0076267C" w:rsidRPr="0076267C" w:rsidRDefault="0076267C" w:rsidP="0076267C">
      <w:pPr>
        <w:rPr>
          <w:rFonts w:cs="Arial"/>
          <w:szCs w:val="22"/>
        </w:rPr>
      </w:pPr>
    </w:p>
    <w:p w14:paraId="61CDCEAD" w14:textId="7D8FD4B7" w:rsidR="00DA54D2" w:rsidRPr="00295F59" w:rsidRDefault="0076267C" w:rsidP="0076267C">
      <w:pPr>
        <w:rPr>
          <w:rFonts w:cs="Arial"/>
          <w:szCs w:val="22"/>
        </w:rPr>
      </w:pPr>
      <w:r w:rsidRPr="0076267C">
        <w:rPr>
          <w:rFonts w:cs="Arial"/>
          <w:szCs w:val="22"/>
        </w:rPr>
        <w:t>This SOP</w:t>
      </w:r>
      <w:r>
        <w:rPr>
          <w:rFonts w:cs="Arial"/>
          <w:szCs w:val="22"/>
        </w:rPr>
        <w:t xml:space="preserve"> document</w:t>
      </w:r>
      <w:r w:rsidRPr="0076267C">
        <w:rPr>
          <w:rFonts w:cs="Arial"/>
          <w:szCs w:val="22"/>
        </w:rPr>
        <w:t xml:space="preserve"> applies to Registered Nurses employed by FNHC who may be required to administer subcutaneous methotrexate or support patients/carers in doing so. It is specifically intended for adult patients receiving this treatment.</w:t>
      </w:r>
    </w:p>
    <w:p w14:paraId="6BB9E253" w14:textId="77777777" w:rsidR="00716280" w:rsidRPr="00295F59" w:rsidRDefault="00716280" w:rsidP="00ED16EC">
      <w:pPr>
        <w:rPr>
          <w:rFonts w:cs="Arial"/>
          <w:szCs w:val="22"/>
        </w:rPr>
      </w:pPr>
    </w:p>
    <w:p w14:paraId="23DE523C" w14:textId="77777777" w:rsidR="00716280" w:rsidRPr="00295F59" w:rsidRDefault="00716280" w:rsidP="00ED16EC">
      <w:pPr>
        <w:rPr>
          <w:rFonts w:cs="Arial"/>
          <w:szCs w:val="22"/>
        </w:rPr>
      </w:pPr>
    </w:p>
    <w:p w14:paraId="52E56223"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350B48F3" w14:textId="5F92E802" w:rsidR="006979D0" w:rsidRPr="00C676A7" w:rsidRDefault="00F7089A" w:rsidP="00BE1EF3">
      <w:pPr>
        <w:pStyle w:val="Heading1"/>
      </w:pPr>
      <w:bookmarkStart w:id="1" w:name="_Toc184886547"/>
      <w:r w:rsidRPr="00BE1EF3">
        <w:lastRenderedPageBreak/>
        <w:t>SOP</w:t>
      </w:r>
      <w:r>
        <w:t xml:space="preserve"> 1</w:t>
      </w:r>
      <w:r w:rsidR="00B03FC2">
        <w:t xml:space="preserve"> </w:t>
      </w:r>
      <w:r w:rsidR="007723CC">
        <w:t>Communication with Relevant Healthcare Professionals</w:t>
      </w:r>
      <w:bookmarkEnd w:id="1"/>
    </w:p>
    <w:tbl>
      <w:tblPr>
        <w:tblW w:w="9039" w:type="dxa"/>
        <w:tblBorders>
          <w:top w:val="single" w:sz="4" w:space="0" w:color="auto"/>
          <w:left w:val="single" w:sz="4" w:space="0" w:color="auto"/>
          <w:right w:val="single" w:sz="4" w:space="0" w:color="auto"/>
        </w:tblBorders>
        <w:tblLook w:val="01E0" w:firstRow="1" w:lastRow="1" w:firstColumn="1" w:lastColumn="1" w:noHBand="0" w:noVBand="0"/>
      </w:tblPr>
      <w:tblGrid>
        <w:gridCol w:w="9039"/>
      </w:tblGrid>
      <w:tr w:rsidR="006979D0" w:rsidRPr="00627A52" w14:paraId="39EC13BE" w14:textId="77777777" w:rsidTr="00723F76">
        <w:tc>
          <w:tcPr>
            <w:tcW w:w="9039" w:type="dxa"/>
            <w:tcBorders>
              <w:top w:val="single" w:sz="4" w:space="0" w:color="auto"/>
              <w:bottom w:val="single" w:sz="4" w:space="0" w:color="auto"/>
            </w:tcBorders>
            <w:shd w:val="clear" w:color="auto" w:fill="E6E6E6"/>
          </w:tcPr>
          <w:p w14:paraId="426690FC" w14:textId="77777777" w:rsidR="006979D0" w:rsidRPr="00627A52" w:rsidRDefault="006979D0" w:rsidP="00ED16EC">
            <w:pPr>
              <w:rPr>
                <w:rFonts w:cs="Arial"/>
                <w:b/>
                <w:i/>
              </w:rPr>
            </w:pPr>
            <w:r w:rsidRPr="00C676A7">
              <w:rPr>
                <w:rFonts w:cs="Arial"/>
                <w:b/>
                <w:i/>
                <w:szCs w:val="22"/>
              </w:rPr>
              <w:t>Purpose</w:t>
            </w:r>
          </w:p>
        </w:tc>
      </w:tr>
    </w:tbl>
    <w:p w14:paraId="40DF143A" w14:textId="2AFFF820" w:rsidR="006970CC" w:rsidRPr="00F7089A" w:rsidRDefault="00345301" w:rsidP="00342F58">
      <w:pPr>
        <w:jc w:val="left"/>
      </w:pPr>
      <w:r>
        <w:t>Ensure all relevant healthcare professionals are informed about the administration of subcutaneous methotrexate to ensure seamless patient care.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979D0" w:rsidRPr="00627A52" w14:paraId="56DABE0D" w14:textId="77777777" w:rsidTr="00707D56">
        <w:tc>
          <w:tcPr>
            <w:tcW w:w="9067" w:type="dxa"/>
            <w:shd w:val="clear" w:color="auto" w:fill="E6E6E6"/>
          </w:tcPr>
          <w:p w14:paraId="5BDA29DB" w14:textId="77777777" w:rsidR="006979D0" w:rsidRPr="00627A52" w:rsidRDefault="006979D0" w:rsidP="00ED16EC">
            <w:pPr>
              <w:rPr>
                <w:rFonts w:cs="Arial"/>
                <w:b/>
                <w:i/>
              </w:rPr>
            </w:pPr>
            <w:r w:rsidRPr="00C676A7">
              <w:rPr>
                <w:rFonts w:cs="Arial"/>
                <w:b/>
                <w:i/>
                <w:szCs w:val="22"/>
              </w:rPr>
              <w:t>Scope</w:t>
            </w:r>
          </w:p>
        </w:tc>
      </w:tr>
    </w:tbl>
    <w:p w14:paraId="27649894" w14:textId="251ED5E2" w:rsidR="006970CC" w:rsidRPr="00F7089A" w:rsidRDefault="00D60A75" w:rsidP="008E551D">
      <w:pPr>
        <w:jc w:val="left"/>
      </w:pPr>
      <w:r>
        <w:t>Applies to all nurses and healthcare professionals involved in the administration or support of subcutaneous methotrexate.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979D0" w:rsidRPr="00627A52" w14:paraId="146B3E55" w14:textId="77777777" w:rsidTr="00707D56">
        <w:tc>
          <w:tcPr>
            <w:tcW w:w="9067" w:type="dxa"/>
            <w:shd w:val="clear" w:color="auto" w:fill="E6E6E6"/>
          </w:tcPr>
          <w:p w14:paraId="5A8DBD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54E9FB2B" w14:textId="77777777" w:rsidR="00782523" w:rsidRDefault="00782523" w:rsidP="00684B89"/>
    <w:p w14:paraId="76082BE4" w14:textId="77777777" w:rsidR="00F309C4" w:rsidRDefault="00AE73F7" w:rsidP="00D33DEB">
      <w:r w:rsidRPr="00AE73F7">
        <w:t xml:space="preserve">Patients are typically </w:t>
      </w:r>
      <w:r w:rsidR="00FC0015">
        <w:t>started</w:t>
      </w:r>
      <w:r w:rsidRPr="00AE73F7">
        <w:t xml:space="preserve"> on subcutaneous methotrexate by the Rheumatology Consultant, who issues the initial prescription.</w:t>
      </w:r>
    </w:p>
    <w:p w14:paraId="7BF09915" w14:textId="77777777" w:rsidR="00F309C4" w:rsidRDefault="00AE73F7" w:rsidP="00D33DEB">
      <w:r w:rsidRPr="00AE73F7">
        <w:t>Following initiation, care is generally shared with the General Practitioner (GP), who assumes responsibility for ongoing prescribing of subcutaneous methotrexate.</w:t>
      </w:r>
    </w:p>
    <w:p w14:paraId="0EFD19A6" w14:textId="77777777" w:rsidR="00F309C4" w:rsidRDefault="00AE73F7" w:rsidP="00D33DEB">
      <w:r w:rsidRPr="00AE73F7">
        <w:t>Patients or their carers are responsible for obtaining supplies of methotrexate in the form of pre-filled auto-injector devices.</w:t>
      </w:r>
    </w:p>
    <w:p w14:paraId="3A53DE9A" w14:textId="77777777" w:rsidR="00F309C4" w:rsidRDefault="00AE73F7" w:rsidP="00F309C4">
      <w:r w:rsidRPr="00AE73F7">
        <w:t>If the patient requires FNHC Nurses to administer the methotrexate injection:</w:t>
      </w:r>
    </w:p>
    <w:p w14:paraId="55E91541" w14:textId="77777777" w:rsidR="00F309C4" w:rsidRDefault="00AE73F7" w:rsidP="00F309C4">
      <w:pPr>
        <w:pStyle w:val="ListParagraph"/>
        <w:numPr>
          <w:ilvl w:val="0"/>
          <w:numId w:val="27"/>
        </w:numPr>
      </w:pPr>
      <w:r w:rsidRPr="00AE73F7">
        <w:t>A referral will be made by the Rheumatology Department, detailing the patient’s specific blood and urine monitoring regime.</w:t>
      </w:r>
    </w:p>
    <w:p w14:paraId="41EE9D68" w14:textId="30A15556" w:rsidR="00AE73F7" w:rsidRDefault="00AE73F7" w:rsidP="00F309C4">
      <w:pPr>
        <w:pStyle w:val="ListParagraph"/>
        <w:numPr>
          <w:ilvl w:val="0"/>
          <w:numId w:val="27"/>
        </w:numPr>
      </w:pPr>
      <w:r w:rsidRPr="00AE73F7">
        <w:t xml:space="preserve">Written authorisation for medication administration will be provided on the FNHC ‘Medication Record and Authorisation Sheet’, in accordance with the </w:t>
      </w:r>
      <w:hyperlink r:id="rId17" w:history="1">
        <w:r w:rsidRPr="003A58D1">
          <w:rPr>
            <w:rStyle w:val="Hyperlink"/>
          </w:rPr>
          <w:t>FNHC Medicines Policy</w:t>
        </w:r>
      </w:hyperlink>
      <w:r w:rsidRPr="00AE73F7">
        <w:t>.</w:t>
      </w:r>
    </w:p>
    <w:p w14:paraId="5FA0BF8E" w14:textId="77777777" w:rsidR="003A650E" w:rsidRPr="00AE73F7" w:rsidRDefault="003A650E" w:rsidP="003A650E">
      <w:pPr>
        <w:pStyle w:val="ListParagraph"/>
        <w:ind w:left="1080"/>
      </w:pPr>
    </w:p>
    <w:p w14:paraId="0EDA1ED0" w14:textId="77777777" w:rsidR="0041535F" w:rsidRDefault="00AE73F7" w:rsidP="0041535F">
      <w:r w:rsidRPr="00AE73F7">
        <w:t>Upon accepting a patient for subcutaneous methotrexate administration or support:</w:t>
      </w:r>
    </w:p>
    <w:p w14:paraId="7165CE3B" w14:textId="77777777" w:rsidR="0041535F" w:rsidRDefault="00AE73F7" w:rsidP="0041535F">
      <w:pPr>
        <w:pStyle w:val="ListParagraph"/>
        <w:numPr>
          <w:ilvl w:val="0"/>
          <w:numId w:val="28"/>
        </w:numPr>
      </w:pPr>
      <w:r w:rsidRPr="00AE73F7">
        <w:t>Both the GP and the responsible physician (if different) must be informed via a liaison letter.</w:t>
      </w:r>
    </w:p>
    <w:p w14:paraId="022D7E6E" w14:textId="407C08AE" w:rsidR="00AE73F7" w:rsidRDefault="00AE73F7" w:rsidP="0041535F">
      <w:pPr>
        <w:pStyle w:val="ListParagraph"/>
        <w:numPr>
          <w:ilvl w:val="0"/>
          <w:numId w:val="28"/>
        </w:numPr>
      </w:pPr>
      <w:r w:rsidRPr="00AE73F7">
        <w:t>The Rheumatology Clinical Nurse Specialist (CNS) must also receive a copy of this liaison letter to ensure FNHC is copied into relevant patient correspondence, such as notifications of dose increases or adjustments to monitoring requirements.</w:t>
      </w:r>
    </w:p>
    <w:p w14:paraId="125FB68D" w14:textId="77777777" w:rsidR="006D0604" w:rsidRPr="00AE73F7" w:rsidRDefault="006D0604" w:rsidP="006D0604">
      <w:pPr>
        <w:pStyle w:val="ListParagraph"/>
        <w:ind w:left="1080"/>
      </w:pPr>
    </w:p>
    <w:p w14:paraId="6FF7E779" w14:textId="77777777" w:rsidR="0041535F" w:rsidRDefault="00AE73F7" w:rsidP="0041535F">
      <w:r w:rsidRPr="00AE73F7">
        <w:t>If timely confirmation of satisfactory test results is not received from the responsible physician:</w:t>
      </w:r>
    </w:p>
    <w:p w14:paraId="0A854111" w14:textId="77777777" w:rsidR="0041535F" w:rsidRDefault="00AE73F7" w:rsidP="0041535F">
      <w:pPr>
        <w:pStyle w:val="ListParagraph"/>
        <w:numPr>
          <w:ilvl w:val="0"/>
          <w:numId w:val="29"/>
        </w:numPr>
      </w:pPr>
      <w:r w:rsidRPr="00AE73F7">
        <w:t>The FNHC Nurse must contact the responsible physician prior to the scheduled appointment with the patient.</w:t>
      </w:r>
    </w:p>
    <w:p w14:paraId="241B21D7" w14:textId="483A957A" w:rsidR="002B016E" w:rsidRDefault="00AE73F7" w:rsidP="0041535F">
      <w:pPr>
        <w:pStyle w:val="ListParagraph"/>
        <w:numPr>
          <w:ilvl w:val="0"/>
          <w:numId w:val="29"/>
        </w:numPr>
      </w:pPr>
      <w:r w:rsidRPr="00AE73F7">
        <w:lastRenderedPageBreak/>
        <w:t>Should confirmation not be provided, the FNHC Nurse must notify the responsible physician that administration/support cannot proceed. This decision should be made in consultation with the appropriate Operational Lead.</w:t>
      </w:r>
    </w:p>
    <w:p w14:paraId="26539E8B" w14:textId="77777777" w:rsidR="002B016E" w:rsidRDefault="002B016E" w:rsidP="002B016E">
      <w:pPr>
        <w:pStyle w:val="ListParagraph"/>
        <w:ind w:left="1080"/>
      </w:pPr>
    </w:p>
    <w:p w14:paraId="62ADE9A1" w14:textId="77777777" w:rsidR="0041535F" w:rsidRDefault="00AE73F7" w:rsidP="0041535F">
      <w:r w:rsidRPr="00AE73F7">
        <w:t>In cases where the dose is increased by the Rheumatology Consultant:</w:t>
      </w:r>
    </w:p>
    <w:p w14:paraId="2DF51B48" w14:textId="77777777" w:rsidR="0041535F" w:rsidRDefault="00AE73F7" w:rsidP="0041535F">
      <w:pPr>
        <w:pStyle w:val="ListParagraph"/>
        <w:numPr>
          <w:ilvl w:val="0"/>
          <w:numId w:val="30"/>
        </w:numPr>
      </w:pPr>
      <w:r w:rsidRPr="00AE73F7">
        <w:t>The Rheumatology Department will issue a confirmation letter to the patient, along with blood forms for updated monitoring requirements.</w:t>
      </w:r>
    </w:p>
    <w:p w14:paraId="7A6636C1" w14:textId="1FD0F288" w:rsidR="0013222A" w:rsidRDefault="00AE73F7" w:rsidP="0041535F">
      <w:pPr>
        <w:pStyle w:val="ListParagraph"/>
        <w:numPr>
          <w:ilvl w:val="0"/>
          <w:numId w:val="30"/>
        </w:numPr>
      </w:pPr>
      <w:r w:rsidRPr="00AE73F7">
        <w:t>If FNHC Nurses are involved, the Rheumatology Department will ensure they are copied into this correspondence.</w:t>
      </w:r>
    </w:p>
    <w:p w14:paraId="0FF9970F" w14:textId="77777777" w:rsidR="0041535F" w:rsidRDefault="0041535F" w:rsidP="0041535F"/>
    <w:p w14:paraId="5DEFF369" w14:textId="77777777" w:rsidR="0041535F" w:rsidRDefault="00AE73F7" w:rsidP="0041535F">
      <w:r w:rsidRPr="00AE73F7">
        <w:t>If any contraindications to subcutaneous methotrexate administration are identified:</w:t>
      </w:r>
    </w:p>
    <w:p w14:paraId="006723ED" w14:textId="77777777" w:rsidR="0041535F" w:rsidRDefault="00AE73F7" w:rsidP="0041535F">
      <w:pPr>
        <w:pStyle w:val="ListParagraph"/>
        <w:numPr>
          <w:ilvl w:val="0"/>
          <w:numId w:val="31"/>
        </w:numPr>
      </w:pPr>
      <w:r w:rsidRPr="00AE73F7">
        <w:t>The responsible physician must be notified immediately.</w:t>
      </w:r>
    </w:p>
    <w:p w14:paraId="606E2180" w14:textId="77777777" w:rsidR="0041535F" w:rsidRDefault="00AE73F7" w:rsidP="0041535F">
      <w:pPr>
        <w:pStyle w:val="ListParagraph"/>
        <w:numPr>
          <w:ilvl w:val="0"/>
          <w:numId w:val="31"/>
        </w:numPr>
      </w:pPr>
      <w:r w:rsidRPr="00AE73F7">
        <w:t>Arrangements should be made for the patient to be reviewed.</w:t>
      </w:r>
    </w:p>
    <w:p w14:paraId="1C823925" w14:textId="44C8A4FC" w:rsidR="00AE73F7" w:rsidRPr="00AE73F7" w:rsidRDefault="00AE73F7" w:rsidP="0041535F">
      <w:pPr>
        <w:pStyle w:val="ListParagraph"/>
        <w:numPr>
          <w:ilvl w:val="0"/>
          <w:numId w:val="31"/>
        </w:numPr>
      </w:pPr>
      <w:r w:rsidRPr="00AE73F7">
        <w:t>This communication should be followed up with a formal liaison letter to the responsible physician.</w:t>
      </w:r>
    </w:p>
    <w:p w14:paraId="5F82BB51" w14:textId="77777777" w:rsidR="00FC01B0" w:rsidRDefault="00FC01B0" w:rsidP="00FC01B0"/>
    <w:p w14:paraId="31B16441" w14:textId="77777777" w:rsidR="00FC01B0" w:rsidRDefault="00FC01B0" w:rsidP="00FC01B0"/>
    <w:p w14:paraId="5FC241E3" w14:textId="77777777" w:rsidR="00FC01B0" w:rsidRDefault="00FC01B0" w:rsidP="00FC01B0"/>
    <w:p w14:paraId="091F2ACE" w14:textId="77777777" w:rsidR="00FC01B0" w:rsidRDefault="00FC01B0" w:rsidP="00FC01B0"/>
    <w:p w14:paraId="721B9DDB" w14:textId="77777777" w:rsidR="00FC01B0" w:rsidRDefault="00FC01B0" w:rsidP="00FC01B0"/>
    <w:p w14:paraId="60F9EFCC" w14:textId="77777777" w:rsidR="00FC01B0" w:rsidRDefault="00FC01B0" w:rsidP="00FC01B0"/>
    <w:p w14:paraId="6A9C3300" w14:textId="77777777" w:rsidR="00FC01B0" w:rsidRDefault="00FC01B0" w:rsidP="00FC01B0"/>
    <w:p w14:paraId="7012E7D2" w14:textId="77777777" w:rsidR="00FC01B0" w:rsidRDefault="00FC01B0" w:rsidP="00FC01B0"/>
    <w:p w14:paraId="5BE4DF49" w14:textId="77777777" w:rsidR="00FC01B0" w:rsidRDefault="00FC01B0" w:rsidP="00FC01B0"/>
    <w:p w14:paraId="7B0E3438" w14:textId="77777777" w:rsidR="00FC01B0" w:rsidRDefault="00FC01B0" w:rsidP="00FC01B0"/>
    <w:p w14:paraId="49B22782" w14:textId="77777777" w:rsidR="00FC01B0" w:rsidRDefault="00FC01B0" w:rsidP="00FC01B0"/>
    <w:p w14:paraId="3F121E1B" w14:textId="77777777" w:rsidR="00FC01B0" w:rsidRDefault="00FC01B0" w:rsidP="00FC01B0"/>
    <w:p w14:paraId="008AC612" w14:textId="77777777" w:rsidR="00FC01B0" w:rsidRDefault="00FC01B0" w:rsidP="00FC01B0"/>
    <w:p w14:paraId="53BC1153" w14:textId="77777777" w:rsidR="00FC01B0" w:rsidRPr="00FC01B0" w:rsidRDefault="00FC01B0" w:rsidP="00FC01B0"/>
    <w:p w14:paraId="730ECC1E" w14:textId="0AFA6D47" w:rsidR="00F7089A" w:rsidRPr="000C163A" w:rsidRDefault="00F7089A" w:rsidP="00BE1EF3">
      <w:pPr>
        <w:pStyle w:val="Heading1"/>
      </w:pPr>
      <w:bookmarkStart w:id="2" w:name="_Toc184886548"/>
      <w:r w:rsidRPr="000C163A">
        <w:lastRenderedPageBreak/>
        <w:t>SOP 2</w:t>
      </w:r>
      <w:r w:rsidR="004265BA">
        <w:t xml:space="preserve"> Preparing for the Administration</w:t>
      </w:r>
      <w:bookmarkEnd w:id="2"/>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5F9A1F46" w14:textId="77777777" w:rsidTr="00B12C7A">
        <w:tc>
          <w:tcPr>
            <w:tcW w:w="9351" w:type="dxa"/>
            <w:tcBorders>
              <w:top w:val="single" w:sz="4" w:space="0" w:color="auto"/>
              <w:bottom w:val="single" w:sz="4" w:space="0" w:color="auto"/>
            </w:tcBorders>
            <w:shd w:val="clear" w:color="auto" w:fill="E6E6E6"/>
          </w:tcPr>
          <w:p w14:paraId="736E732B" w14:textId="77777777" w:rsidR="006979D0" w:rsidRPr="00BE1EF3" w:rsidRDefault="006979D0" w:rsidP="00BE1EF3">
            <w:pPr>
              <w:rPr>
                <w:b/>
                <w:i/>
              </w:rPr>
            </w:pPr>
            <w:r w:rsidRPr="00BE1EF3">
              <w:rPr>
                <w:b/>
                <w:i/>
              </w:rPr>
              <w:t>Purpose</w:t>
            </w:r>
          </w:p>
        </w:tc>
      </w:tr>
    </w:tbl>
    <w:p w14:paraId="70DF9E56" w14:textId="7B44C190" w:rsidR="006979D0" w:rsidRPr="00F7089A" w:rsidRDefault="002B4E23" w:rsidP="002B4E23">
      <w:r w:rsidRPr="002B4E23">
        <w:t>To ensure the safe and effective preparation for the administration of subcutaneous methotrexate, minimising risks to patients and healthcare practitioners while adhering to best practices.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453824FE" w14:textId="77777777" w:rsidTr="00B12C7A">
        <w:tc>
          <w:tcPr>
            <w:tcW w:w="9351" w:type="dxa"/>
            <w:shd w:val="clear" w:color="auto" w:fill="E6E6E6"/>
          </w:tcPr>
          <w:p w14:paraId="08CE1F6C" w14:textId="77777777" w:rsidR="006979D0" w:rsidRPr="00BE1EF3" w:rsidRDefault="006979D0" w:rsidP="00BE1EF3">
            <w:pPr>
              <w:rPr>
                <w:b/>
                <w:i/>
              </w:rPr>
            </w:pPr>
            <w:r w:rsidRPr="00BE1EF3">
              <w:rPr>
                <w:b/>
                <w:i/>
              </w:rPr>
              <w:t>Scope</w:t>
            </w:r>
          </w:p>
        </w:tc>
      </w:tr>
    </w:tbl>
    <w:p w14:paraId="44E871BC" w14:textId="41CD999E" w:rsidR="006979D0" w:rsidRPr="00F7089A" w:rsidRDefault="000F0B22" w:rsidP="00BE1EF3">
      <w:r>
        <w:t>Applies to all nurses administering or supporting methotrexate injections.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69459D98" w14:textId="77777777" w:rsidTr="00B12C7A">
        <w:tc>
          <w:tcPr>
            <w:tcW w:w="9351" w:type="dxa"/>
            <w:shd w:val="clear" w:color="auto" w:fill="E6E6E6"/>
          </w:tcPr>
          <w:p w14:paraId="353CF696"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738610EB" w14:textId="77777777" w:rsidR="00F7089A" w:rsidRDefault="00F7089A" w:rsidP="00BE1EF3"/>
    <w:p w14:paraId="7BFE2D5A" w14:textId="77777777" w:rsidR="006310B3" w:rsidRPr="00BB32A4" w:rsidRDefault="006310B3" w:rsidP="00BB32A4">
      <w:pPr>
        <w:rPr>
          <w:b/>
          <w:bCs/>
        </w:rPr>
      </w:pPr>
      <w:r w:rsidRPr="00BB32A4">
        <w:rPr>
          <w:b/>
          <w:bCs/>
        </w:rPr>
        <w:t>Practitioner Competency</w:t>
      </w:r>
    </w:p>
    <w:p w14:paraId="209BA529" w14:textId="094CD811" w:rsidR="00BB32A4" w:rsidRDefault="006310B3" w:rsidP="001D458E">
      <w:r w:rsidRPr="006310B3">
        <w:t xml:space="preserve">FNHC Nurses must be competent in subcutaneous injection techniques and the safe use of </w:t>
      </w:r>
      <w:r w:rsidR="000C0D1D">
        <w:t>an</w:t>
      </w:r>
      <w:r w:rsidRPr="006310B3">
        <w:t xml:space="preserve"> auto-injector device.</w:t>
      </w:r>
    </w:p>
    <w:p w14:paraId="6AE1C6D2" w14:textId="7CAE19BD" w:rsidR="00BB32A4" w:rsidRDefault="001049E4" w:rsidP="001D458E">
      <w:r>
        <w:t xml:space="preserve">Completion of the </w:t>
      </w:r>
      <w:r w:rsidR="00304EAB">
        <w:t>C</w:t>
      </w:r>
      <w:r w:rsidR="006310B3" w:rsidRPr="006310B3">
        <w:t xml:space="preserve">ompetency </w:t>
      </w:r>
      <w:r w:rsidR="001A246E">
        <w:t>C</w:t>
      </w:r>
      <w:r w:rsidR="008B389A">
        <w:t>hecklist</w:t>
      </w:r>
      <w:r w:rsidR="006310B3" w:rsidRPr="006310B3">
        <w:t xml:space="preserve"> (</w:t>
      </w:r>
      <w:hyperlink w:anchor="_Appendix_1._" w:history="1">
        <w:r w:rsidR="006310B3" w:rsidRPr="007204CC">
          <w:rPr>
            <w:rStyle w:val="Hyperlink"/>
          </w:rPr>
          <w:t>Appendix</w:t>
        </w:r>
        <w:r w:rsidR="0029466F" w:rsidRPr="007204CC">
          <w:rPr>
            <w:rStyle w:val="Hyperlink"/>
          </w:rPr>
          <w:t xml:space="preserve"> 1</w:t>
        </w:r>
      </w:hyperlink>
      <w:r w:rsidR="006310B3" w:rsidRPr="006310B3">
        <w:t>).</w:t>
      </w:r>
    </w:p>
    <w:p w14:paraId="7F45C144" w14:textId="271BA6FC" w:rsidR="006310B3" w:rsidRDefault="006310B3" w:rsidP="001D458E">
      <w:r w:rsidRPr="006310B3">
        <w:t>No specialist training is required as per the RCN’s 2021 guidelines, but practitioners should maintain ongoing professional development.</w:t>
      </w:r>
    </w:p>
    <w:p w14:paraId="38CDC1C5" w14:textId="77777777" w:rsidR="001576ED" w:rsidRPr="006310B3" w:rsidRDefault="001576ED" w:rsidP="001576ED">
      <w:pPr>
        <w:pStyle w:val="ListParagraph"/>
      </w:pPr>
    </w:p>
    <w:p w14:paraId="1521B4CC" w14:textId="77777777" w:rsidR="00D20EBD" w:rsidRPr="00D20EBD" w:rsidRDefault="00D20EBD" w:rsidP="00D20EBD">
      <w:pPr>
        <w:rPr>
          <w:b/>
          <w:bCs/>
        </w:rPr>
      </w:pPr>
      <w:r w:rsidRPr="00D20EBD">
        <w:rPr>
          <w:b/>
          <w:bCs/>
        </w:rPr>
        <w:t>Preparation</w:t>
      </w:r>
    </w:p>
    <w:p w14:paraId="4921C442" w14:textId="77777777" w:rsidR="00D20EBD" w:rsidRDefault="00D20EBD" w:rsidP="001D458E">
      <w:r>
        <w:t>Ensure the procedure can be carried out without interruptions or distractions.</w:t>
      </w:r>
    </w:p>
    <w:p w14:paraId="1C843593" w14:textId="77777777" w:rsidR="001D458E" w:rsidRDefault="00D20EBD" w:rsidP="001D458E">
      <w:r>
        <w:t>Gather and verify the following equipment:</w:t>
      </w:r>
    </w:p>
    <w:p w14:paraId="7222F5CF" w14:textId="77777777" w:rsidR="001D458E" w:rsidRDefault="00D20EBD" w:rsidP="001D458E">
      <w:pPr>
        <w:pStyle w:val="ListParagraph"/>
        <w:numPr>
          <w:ilvl w:val="0"/>
          <w:numId w:val="32"/>
        </w:numPr>
      </w:pPr>
      <w:r>
        <w:t>Written authorisation from a Registered Prescriber to administer methotrexate.</w:t>
      </w:r>
    </w:p>
    <w:p w14:paraId="0528704B" w14:textId="294D43CC" w:rsidR="001D458E" w:rsidRDefault="00D20EBD" w:rsidP="001D458E">
      <w:pPr>
        <w:pStyle w:val="ListParagraph"/>
        <w:numPr>
          <w:ilvl w:val="0"/>
          <w:numId w:val="32"/>
        </w:numPr>
      </w:pPr>
      <w:r>
        <w:t>Subcutaneous Methotrexate Administration Checklist (</w:t>
      </w:r>
      <w:hyperlink w:anchor="_Appendix_2._" w:history="1">
        <w:r w:rsidRPr="007204CC">
          <w:rPr>
            <w:rStyle w:val="Hyperlink"/>
          </w:rPr>
          <w:t xml:space="preserve">Appendix </w:t>
        </w:r>
        <w:r w:rsidR="00FC4983" w:rsidRPr="007204CC">
          <w:rPr>
            <w:rStyle w:val="Hyperlink"/>
          </w:rPr>
          <w:t>2</w:t>
        </w:r>
      </w:hyperlink>
      <w:r>
        <w:t>).</w:t>
      </w:r>
    </w:p>
    <w:p w14:paraId="416D746B" w14:textId="77777777" w:rsidR="001D458E" w:rsidRDefault="00D20EBD" w:rsidP="001D458E">
      <w:pPr>
        <w:pStyle w:val="ListParagraph"/>
        <w:numPr>
          <w:ilvl w:val="0"/>
          <w:numId w:val="32"/>
        </w:numPr>
      </w:pPr>
      <w:r>
        <w:t>Pre-dosed, pre-filled auto-injector device (e.g., Metoject®).</w:t>
      </w:r>
    </w:p>
    <w:p w14:paraId="4BD82354" w14:textId="77777777" w:rsidR="001D458E" w:rsidRDefault="00D20EBD" w:rsidP="001D458E">
      <w:pPr>
        <w:pStyle w:val="ListParagraph"/>
        <w:numPr>
          <w:ilvl w:val="0"/>
          <w:numId w:val="32"/>
        </w:numPr>
      </w:pPr>
      <w:r>
        <w:t>Cytotoxic sharps bin (available from the Stores Department).</w:t>
      </w:r>
    </w:p>
    <w:p w14:paraId="794ADB97" w14:textId="77777777" w:rsidR="001D458E" w:rsidRDefault="00D20EBD" w:rsidP="001D458E">
      <w:pPr>
        <w:pStyle w:val="ListParagraph"/>
        <w:numPr>
          <w:ilvl w:val="0"/>
          <w:numId w:val="32"/>
        </w:numPr>
      </w:pPr>
      <w:r>
        <w:t>Disposable gloves (latex-free preferred) and apron.</w:t>
      </w:r>
    </w:p>
    <w:p w14:paraId="639746C7" w14:textId="77777777" w:rsidR="001D458E" w:rsidRDefault="00D20EBD" w:rsidP="001D458E">
      <w:pPr>
        <w:pStyle w:val="ListParagraph"/>
        <w:numPr>
          <w:ilvl w:val="0"/>
          <w:numId w:val="32"/>
        </w:numPr>
      </w:pPr>
      <w:r>
        <w:t>Gauze swabs or tissues.</w:t>
      </w:r>
    </w:p>
    <w:p w14:paraId="2CEAD27C" w14:textId="1B749C27" w:rsidR="0041508B" w:rsidRDefault="00D20EBD" w:rsidP="001D458E">
      <w:pPr>
        <w:pStyle w:val="ListParagraph"/>
        <w:numPr>
          <w:ilvl w:val="0"/>
          <w:numId w:val="32"/>
        </w:numPr>
      </w:pPr>
      <w:r>
        <w:t>Spill kit (if available).</w:t>
      </w:r>
    </w:p>
    <w:p w14:paraId="6ACCC995" w14:textId="77777777" w:rsidR="00D923E6" w:rsidRDefault="00D923E6" w:rsidP="00D923E6"/>
    <w:p w14:paraId="79F61D21" w14:textId="77777777" w:rsidR="00B3401B" w:rsidRDefault="00D923E6" w:rsidP="00D923E6">
      <w:pPr>
        <w:rPr>
          <w:b/>
          <w:bCs/>
        </w:rPr>
      </w:pPr>
      <w:r w:rsidRPr="00D923E6">
        <w:rPr>
          <w:b/>
          <w:bCs/>
        </w:rPr>
        <w:t>Personal Protective Equipment (PPE)</w:t>
      </w:r>
    </w:p>
    <w:p w14:paraId="4CE24643" w14:textId="77777777" w:rsidR="00B3401B" w:rsidRPr="001D458E" w:rsidRDefault="00D923E6" w:rsidP="001D458E">
      <w:pPr>
        <w:rPr>
          <w:b/>
          <w:bCs/>
        </w:rPr>
      </w:pPr>
      <w:r>
        <w:t>Gloves (latex-free, ideally) are recommended for practitioners; aprons are optional but encouraged for standard clinical practice.</w:t>
      </w:r>
    </w:p>
    <w:p w14:paraId="19DC7942" w14:textId="77777777" w:rsidR="00B3401B" w:rsidRPr="007D2051" w:rsidRDefault="00D923E6" w:rsidP="007D2051">
      <w:pPr>
        <w:rPr>
          <w:b/>
          <w:bCs/>
        </w:rPr>
      </w:pPr>
      <w:r>
        <w:t>For patient self-administration, PPE is not required.</w:t>
      </w:r>
    </w:p>
    <w:p w14:paraId="5D63AD1A" w14:textId="59A13E36" w:rsidR="00D923E6" w:rsidRPr="007D2051" w:rsidRDefault="00D923E6" w:rsidP="007D2051">
      <w:pPr>
        <w:rPr>
          <w:b/>
          <w:bCs/>
        </w:rPr>
      </w:pPr>
      <w:r>
        <w:lastRenderedPageBreak/>
        <w:t>Full PPE (e.g., masks, goggles, armlets) is not necessary when using pre-filled auto-injectors due to the low cytotoxic risk.</w:t>
      </w:r>
    </w:p>
    <w:p w14:paraId="76D4679A" w14:textId="77777777" w:rsidR="00B814A6" w:rsidRPr="00B3401B" w:rsidRDefault="00B814A6" w:rsidP="00B814A6">
      <w:pPr>
        <w:pStyle w:val="ListParagraph"/>
        <w:rPr>
          <w:b/>
          <w:bCs/>
        </w:rPr>
      </w:pPr>
    </w:p>
    <w:p w14:paraId="6A0C8F4D" w14:textId="77777777" w:rsidR="00B814A6" w:rsidRPr="00B814A6" w:rsidRDefault="00B814A6" w:rsidP="00B814A6">
      <w:pPr>
        <w:rPr>
          <w:b/>
          <w:bCs/>
        </w:rPr>
      </w:pPr>
      <w:r w:rsidRPr="00B814A6">
        <w:rPr>
          <w:b/>
          <w:bCs/>
        </w:rPr>
        <w:t>Spillage Awareness</w:t>
      </w:r>
    </w:p>
    <w:p w14:paraId="6BB7723A" w14:textId="77777777" w:rsidR="007D2051" w:rsidRDefault="00B814A6" w:rsidP="007D2051">
      <w:r>
        <w:t>While the risk of spillage with pre-filled auto-injectors is negligible, practitioners and carers should:</w:t>
      </w:r>
    </w:p>
    <w:p w14:paraId="32653E3F" w14:textId="77777777" w:rsidR="007D2051" w:rsidRDefault="00B814A6" w:rsidP="007D2051">
      <w:pPr>
        <w:pStyle w:val="ListParagraph"/>
        <w:numPr>
          <w:ilvl w:val="0"/>
          <w:numId w:val="33"/>
        </w:numPr>
      </w:pPr>
      <w:r>
        <w:t>Be aware of local policies for cytotoxic spillage.</w:t>
      </w:r>
    </w:p>
    <w:p w14:paraId="361719E2" w14:textId="77777777" w:rsidR="007D2051" w:rsidRDefault="00B814A6" w:rsidP="007D2051">
      <w:pPr>
        <w:pStyle w:val="ListParagraph"/>
        <w:numPr>
          <w:ilvl w:val="0"/>
          <w:numId w:val="33"/>
        </w:numPr>
      </w:pPr>
      <w:r>
        <w:t>Have access to spillage kits where locally agreed.</w:t>
      </w:r>
    </w:p>
    <w:p w14:paraId="42436258" w14:textId="3948BA12" w:rsidR="00B814A6" w:rsidRDefault="00B814A6" w:rsidP="007D2051">
      <w:pPr>
        <w:pStyle w:val="ListParagraph"/>
        <w:numPr>
          <w:ilvl w:val="0"/>
          <w:numId w:val="33"/>
        </w:numPr>
      </w:pPr>
      <w:r>
        <w:t>Provide patients/carers with guidance on dealing with accidental spills at home.</w:t>
      </w:r>
    </w:p>
    <w:p w14:paraId="04818366" w14:textId="77777777" w:rsidR="00E87501" w:rsidRDefault="00E87501" w:rsidP="00B814A6"/>
    <w:p w14:paraId="2E20AE26" w14:textId="5E1FC97C" w:rsidR="00B814A6" w:rsidRPr="00E87501" w:rsidRDefault="00B814A6" w:rsidP="00B814A6">
      <w:pPr>
        <w:rPr>
          <w:b/>
          <w:bCs/>
        </w:rPr>
      </w:pPr>
      <w:r w:rsidRPr="00E87501">
        <w:rPr>
          <w:b/>
          <w:bCs/>
        </w:rPr>
        <w:t>Pre-Administration Checks</w:t>
      </w:r>
    </w:p>
    <w:p w14:paraId="72998858" w14:textId="77777777" w:rsidR="00E87501" w:rsidRDefault="00B814A6" w:rsidP="000E54C2">
      <w:r>
        <w:t>Confirm that the methotrexate has been stored appropriately.</w:t>
      </w:r>
    </w:p>
    <w:p w14:paraId="39F7A69A" w14:textId="0D9EE5D6" w:rsidR="00E87501" w:rsidRDefault="00B814A6" w:rsidP="000E54C2">
      <w:r>
        <w:t>Complete the Subcutaneous Methotrexate Administration Checklist (</w:t>
      </w:r>
      <w:hyperlink w:anchor="_Appendix_2._" w:history="1">
        <w:r w:rsidRPr="007204CC">
          <w:rPr>
            <w:rStyle w:val="Hyperlink"/>
          </w:rPr>
          <w:t xml:space="preserve">Appendix </w:t>
        </w:r>
        <w:r w:rsidR="00FC4983" w:rsidRPr="007204CC">
          <w:rPr>
            <w:rStyle w:val="Hyperlink"/>
          </w:rPr>
          <w:t>2</w:t>
        </w:r>
      </w:hyperlink>
      <w:r>
        <w:t>).</w:t>
      </w:r>
    </w:p>
    <w:p w14:paraId="2DE38170" w14:textId="77777777" w:rsidR="00A8259E" w:rsidRDefault="00B814A6" w:rsidP="000E54C2">
      <w:r>
        <w:t>Verify the dosage and ensure no changes have been made since the last prescription.</w:t>
      </w:r>
    </w:p>
    <w:p w14:paraId="46F66C9D" w14:textId="4F669809" w:rsidR="00B814A6" w:rsidRDefault="00B814A6" w:rsidP="000E54C2">
      <w:r>
        <w:t>If any discrepancies are found, immediately seek advice from the responsible physician.</w:t>
      </w:r>
    </w:p>
    <w:p w14:paraId="17529547" w14:textId="77777777" w:rsidR="00A8259E" w:rsidRDefault="00A8259E" w:rsidP="00B814A6"/>
    <w:p w14:paraId="76B1B0BA" w14:textId="0BE97C4F" w:rsidR="00B814A6" w:rsidRPr="00A8259E" w:rsidRDefault="00B814A6" w:rsidP="00B814A6">
      <w:pPr>
        <w:rPr>
          <w:b/>
          <w:bCs/>
        </w:rPr>
      </w:pPr>
      <w:r w:rsidRPr="00A8259E">
        <w:rPr>
          <w:b/>
          <w:bCs/>
        </w:rPr>
        <w:t>Documentation</w:t>
      </w:r>
    </w:p>
    <w:p w14:paraId="21456B24" w14:textId="77777777" w:rsidR="00A8259E" w:rsidRDefault="00B814A6" w:rsidP="000E54C2">
      <w:r>
        <w:t>Document all preparation steps and confirm the patient/carer is aware of the risks associated with handling methotrexate.</w:t>
      </w:r>
    </w:p>
    <w:p w14:paraId="5FCFF0E2" w14:textId="3A210EE6" w:rsidR="0041508B" w:rsidRDefault="00B814A6" w:rsidP="000E54C2">
      <w:r>
        <w:t>Ensure informed consent is obtained and recorded.</w:t>
      </w:r>
    </w:p>
    <w:p w14:paraId="33E1D0FB" w14:textId="77777777" w:rsidR="001576ED" w:rsidRDefault="001576ED" w:rsidP="001576ED">
      <w:pPr>
        <w:pStyle w:val="ListParagraph"/>
      </w:pPr>
    </w:p>
    <w:p w14:paraId="1A1D830E" w14:textId="77777777" w:rsidR="001576ED" w:rsidRDefault="001576ED" w:rsidP="001576ED">
      <w:pPr>
        <w:pStyle w:val="ListParagraph"/>
      </w:pPr>
    </w:p>
    <w:p w14:paraId="2DEBEC1A" w14:textId="77777777" w:rsidR="001576ED" w:rsidRDefault="001576ED" w:rsidP="001576ED">
      <w:pPr>
        <w:pStyle w:val="ListParagraph"/>
      </w:pPr>
    </w:p>
    <w:p w14:paraId="38731A0F" w14:textId="77777777" w:rsidR="001576ED" w:rsidRDefault="001576ED" w:rsidP="001576ED">
      <w:pPr>
        <w:pStyle w:val="ListParagraph"/>
      </w:pPr>
    </w:p>
    <w:p w14:paraId="5F79ABF3" w14:textId="77777777" w:rsidR="001576ED" w:rsidRDefault="001576ED" w:rsidP="001576ED">
      <w:pPr>
        <w:pStyle w:val="ListParagraph"/>
      </w:pPr>
    </w:p>
    <w:p w14:paraId="0D4586FC" w14:textId="77777777" w:rsidR="00D527A6" w:rsidRDefault="00D527A6" w:rsidP="00BE1EF3"/>
    <w:p w14:paraId="72C4E108" w14:textId="77777777" w:rsidR="006613FD" w:rsidRDefault="006613FD" w:rsidP="00BE1EF3"/>
    <w:p w14:paraId="1BB9C196" w14:textId="77777777" w:rsidR="003F05DC" w:rsidRDefault="003F05DC" w:rsidP="00BE1EF3"/>
    <w:p w14:paraId="1B07AF36" w14:textId="77777777" w:rsidR="003F05DC" w:rsidRDefault="003F05DC" w:rsidP="00BE1EF3"/>
    <w:p w14:paraId="1770F204" w14:textId="77777777" w:rsidR="003F05DC" w:rsidRDefault="003F05DC" w:rsidP="00BE1EF3"/>
    <w:p w14:paraId="3D7FF871" w14:textId="319F0744" w:rsidR="00F7089A" w:rsidRPr="000C163A" w:rsidRDefault="00F7089A" w:rsidP="00BE1EF3">
      <w:pPr>
        <w:pStyle w:val="Heading1"/>
      </w:pPr>
      <w:bookmarkStart w:id="3" w:name="_Toc184886549"/>
      <w:r w:rsidRPr="00BE1EF3">
        <w:lastRenderedPageBreak/>
        <w:t>SOP</w:t>
      </w:r>
      <w:r w:rsidRPr="000C163A">
        <w:t xml:space="preserve"> 3</w:t>
      </w:r>
      <w:r w:rsidR="00D84A66">
        <w:t xml:space="preserve"> Administering </w:t>
      </w:r>
      <w:r w:rsidR="006A2F60">
        <w:t>m</w:t>
      </w:r>
      <w:r w:rsidR="00D84A66">
        <w:t xml:space="preserve">ethotrexate </w:t>
      </w:r>
      <w:r w:rsidR="006A2F60">
        <w:t>u</w:t>
      </w:r>
      <w:r w:rsidR="00D84A66">
        <w:t>sing</w:t>
      </w:r>
      <w:r w:rsidR="008011CD">
        <w:t xml:space="preserve"> </w:t>
      </w:r>
      <w:r w:rsidR="006A2F60">
        <w:t>a</w:t>
      </w:r>
      <w:r w:rsidR="008011CD">
        <w:t>utoinjector pre</w:t>
      </w:r>
      <w:r w:rsidR="006A2F60">
        <w:t>-filled PENs</w:t>
      </w:r>
      <w:bookmarkEnd w:id="3"/>
    </w:p>
    <w:tbl>
      <w:tblPr>
        <w:tblW w:w="9209" w:type="dxa"/>
        <w:tblBorders>
          <w:top w:val="single" w:sz="4" w:space="0" w:color="auto"/>
          <w:left w:val="single" w:sz="4" w:space="0" w:color="auto"/>
          <w:right w:val="single" w:sz="4" w:space="0" w:color="auto"/>
        </w:tblBorders>
        <w:tblLook w:val="01E0" w:firstRow="1" w:lastRow="1" w:firstColumn="1" w:lastColumn="1" w:noHBand="0" w:noVBand="0"/>
      </w:tblPr>
      <w:tblGrid>
        <w:gridCol w:w="9209"/>
      </w:tblGrid>
      <w:tr w:rsidR="006979D0" w:rsidRPr="00627A52" w14:paraId="12AFF7E1" w14:textId="77777777" w:rsidTr="00BC5051">
        <w:tc>
          <w:tcPr>
            <w:tcW w:w="9209" w:type="dxa"/>
            <w:tcBorders>
              <w:top w:val="single" w:sz="4" w:space="0" w:color="auto"/>
              <w:bottom w:val="single" w:sz="4" w:space="0" w:color="auto"/>
            </w:tcBorders>
            <w:shd w:val="clear" w:color="auto" w:fill="E6E6E6"/>
          </w:tcPr>
          <w:p w14:paraId="694F4B38" w14:textId="77777777" w:rsidR="006979D0" w:rsidRPr="00C676A7" w:rsidRDefault="006979D0" w:rsidP="00ED16EC">
            <w:pPr>
              <w:rPr>
                <w:rFonts w:cs="Arial"/>
                <w:b/>
                <w:i/>
              </w:rPr>
            </w:pPr>
            <w:r w:rsidRPr="00C676A7">
              <w:rPr>
                <w:rFonts w:cs="Arial"/>
                <w:b/>
                <w:i/>
              </w:rPr>
              <w:t>Purpose</w:t>
            </w:r>
          </w:p>
        </w:tc>
      </w:tr>
    </w:tbl>
    <w:p w14:paraId="463F29E8" w14:textId="79D33EA8" w:rsidR="006979D0" w:rsidRPr="00F7089A" w:rsidRDefault="004906EB" w:rsidP="00DD2194">
      <w:pPr>
        <w:jc w:val="left"/>
      </w:pPr>
      <w:r w:rsidRPr="004906EB">
        <w:t xml:space="preserve">The latest guidance from the RCN strongly supports and recommends the use of licensed methotrexate via the subcutaneous route, for instance, an autoinjector pre-filled PEN or a pre-filled injector device, NOT the pre-filled syringes or vials. </w:t>
      </w:r>
      <w:r>
        <w:t>The purpose of this SOP is to e</w:t>
      </w:r>
      <w:r w:rsidR="00DD2194">
        <w:t>nable safe and effective administration of methotrexate using a pre-filled device.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979D0" w:rsidRPr="00627A52" w14:paraId="1D80CB15" w14:textId="77777777" w:rsidTr="00BC5051">
        <w:tc>
          <w:tcPr>
            <w:tcW w:w="9209" w:type="dxa"/>
            <w:shd w:val="clear" w:color="auto" w:fill="E6E6E6"/>
          </w:tcPr>
          <w:p w14:paraId="0B111768" w14:textId="77777777" w:rsidR="006979D0" w:rsidRPr="00C676A7" w:rsidRDefault="006979D0" w:rsidP="00ED16EC">
            <w:pPr>
              <w:rPr>
                <w:rFonts w:cs="Arial"/>
                <w:b/>
                <w:i/>
              </w:rPr>
            </w:pPr>
            <w:r w:rsidRPr="00C676A7">
              <w:rPr>
                <w:rFonts w:cs="Arial"/>
                <w:b/>
                <w:i/>
              </w:rPr>
              <w:t>Scope</w:t>
            </w:r>
          </w:p>
        </w:tc>
      </w:tr>
    </w:tbl>
    <w:p w14:paraId="3B7B4B86" w14:textId="4D0470B8" w:rsidR="006979D0" w:rsidRPr="00F7089A" w:rsidRDefault="0074262D" w:rsidP="0074262D">
      <w:pPr>
        <w:jc w:val="left"/>
      </w:pPr>
      <w:r>
        <w:t>Applies to all nurses involved in methotrexate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979D0" w:rsidRPr="00627A52" w14:paraId="75B6F712" w14:textId="77777777" w:rsidTr="00BC5051">
        <w:tc>
          <w:tcPr>
            <w:tcW w:w="9209" w:type="dxa"/>
            <w:shd w:val="clear" w:color="auto" w:fill="E6E6E6"/>
          </w:tcPr>
          <w:p w14:paraId="4BF8957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4F769D5B" w14:textId="77777777" w:rsidR="00F2686C" w:rsidRPr="00F2686C" w:rsidRDefault="00F2686C" w:rsidP="00C722AD">
      <w:r w:rsidRPr="00F2686C">
        <w:rPr>
          <w:b/>
          <w:bCs/>
        </w:rPr>
        <w:t>Preparation</w:t>
      </w:r>
    </w:p>
    <w:p w14:paraId="36E8EFE5" w14:textId="77777777" w:rsidR="008F1A31" w:rsidRDefault="00F2686C" w:rsidP="000E54C2">
      <w:r w:rsidRPr="00F2686C">
        <w:t>Wash and dry hands thoroughly.</w:t>
      </w:r>
    </w:p>
    <w:p w14:paraId="7DCA3CFF" w14:textId="202E9A7A" w:rsidR="00F2686C" w:rsidRPr="00F2686C" w:rsidRDefault="00F2686C" w:rsidP="000E54C2">
      <w:r w:rsidRPr="00F2686C">
        <w:t>Wear gloves and an apron. (Note: Patients who self-administer are not required to wear gloves or an apron.)</w:t>
      </w:r>
    </w:p>
    <w:p w14:paraId="05B788D9" w14:textId="77777777" w:rsidR="00C722AD" w:rsidRDefault="00C722AD" w:rsidP="00C722AD">
      <w:pPr>
        <w:rPr>
          <w:b/>
          <w:bCs/>
        </w:rPr>
      </w:pPr>
    </w:p>
    <w:p w14:paraId="5292F7C0" w14:textId="685AFD62" w:rsidR="00F2686C" w:rsidRPr="00F2686C" w:rsidRDefault="00F2686C" w:rsidP="00C722AD">
      <w:r w:rsidRPr="00F2686C">
        <w:rPr>
          <w:b/>
          <w:bCs/>
        </w:rPr>
        <w:t>Medication and Equipment Check</w:t>
      </w:r>
    </w:p>
    <w:p w14:paraId="21DF281D" w14:textId="77777777" w:rsidR="00C722AD" w:rsidRDefault="00F2686C" w:rsidP="00C722AD">
      <w:r w:rsidRPr="00F2686C">
        <w:t>Verify the following details against the pharmacy label and drug chart:</w:t>
      </w:r>
    </w:p>
    <w:p w14:paraId="231A308D" w14:textId="77777777" w:rsidR="00C722AD" w:rsidRDefault="00F2686C" w:rsidP="00C722AD">
      <w:pPr>
        <w:pStyle w:val="ListParagraph"/>
        <w:numPr>
          <w:ilvl w:val="0"/>
          <w:numId w:val="34"/>
        </w:numPr>
      </w:pPr>
      <w:r w:rsidRPr="00F2686C">
        <w:t>Patient’s name.</w:t>
      </w:r>
    </w:p>
    <w:p w14:paraId="7AE4D3A2" w14:textId="77777777" w:rsidR="00C722AD" w:rsidRDefault="00F2686C" w:rsidP="00C722AD">
      <w:pPr>
        <w:pStyle w:val="ListParagraph"/>
        <w:numPr>
          <w:ilvl w:val="0"/>
          <w:numId w:val="34"/>
        </w:numPr>
      </w:pPr>
      <w:r w:rsidRPr="00F2686C">
        <w:t>Drug name, dose, route, and expiry date.</w:t>
      </w:r>
    </w:p>
    <w:p w14:paraId="4D33AE8F" w14:textId="63C7967B" w:rsidR="00F2686C" w:rsidRPr="00F2686C" w:rsidRDefault="00F2686C" w:rsidP="00C722AD">
      <w:pPr>
        <w:pStyle w:val="ListParagraph"/>
        <w:numPr>
          <w:ilvl w:val="0"/>
          <w:numId w:val="34"/>
        </w:numPr>
      </w:pPr>
      <w:r w:rsidRPr="00F2686C">
        <w:t>Colour of the liquid in the device (should be yellow and transparent).</w:t>
      </w:r>
    </w:p>
    <w:p w14:paraId="096E3A41" w14:textId="77777777" w:rsidR="0041137C" w:rsidRDefault="00F2686C" w:rsidP="00C722AD">
      <w:r w:rsidRPr="00F2686C">
        <w:t>Ensure the medication has been stored appropriately.</w:t>
      </w:r>
    </w:p>
    <w:p w14:paraId="232FCBB2" w14:textId="40F1704E" w:rsidR="00F2686C" w:rsidRPr="00F2686C" w:rsidRDefault="00F2686C" w:rsidP="00B4676B">
      <w:r w:rsidRPr="00F2686C">
        <w:t>If there are any discrepancies, do not proceed and contact the dispensing pharmacy.</w:t>
      </w:r>
    </w:p>
    <w:p w14:paraId="75A73ACE" w14:textId="77777777" w:rsidR="00B4676B" w:rsidRPr="00B4676B" w:rsidRDefault="00B4676B" w:rsidP="00B4676B"/>
    <w:p w14:paraId="7BA63850" w14:textId="46318AD0" w:rsidR="00F2686C" w:rsidRPr="00F2686C" w:rsidRDefault="00F2686C" w:rsidP="00B4676B">
      <w:r w:rsidRPr="00F2686C">
        <w:rPr>
          <w:b/>
          <w:bCs/>
        </w:rPr>
        <w:t>Device Preparation</w:t>
      </w:r>
    </w:p>
    <w:p w14:paraId="3E6FCC4D" w14:textId="77777777" w:rsidR="00DD5F98" w:rsidRDefault="00F2686C" w:rsidP="00B4676B">
      <w:r w:rsidRPr="00F2686C">
        <w:t>Remove the Metoject® PEN device from its packaging. Dispose of the packaging in household waste.</w:t>
      </w:r>
    </w:p>
    <w:p w14:paraId="0082CB53" w14:textId="77777777" w:rsidR="00DD5F98" w:rsidRDefault="00F2686C" w:rsidP="00B4676B">
      <w:r w:rsidRPr="00F2686C">
        <w:t>Inspect the device for damage. Do not proceed if the device is damaged.</w:t>
      </w:r>
    </w:p>
    <w:p w14:paraId="379AFB2D" w14:textId="392CA355" w:rsidR="00F2686C" w:rsidRPr="00F2686C" w:rsidRDefault="00F2686C" w:rsidP="00B4676B">
      <w:r w:rsidRPr="00F2686C">
        <w:t>Note: An air bubble in the PEN is normal and should not be removed.</w:t>
      </w:r>
    </w:p>
    <w:p w14:paraId="5100C4FD" w14:textId="77777777" w:rsidR="00B4676B" w:rsidRDefault="00B4676B" w:rsidP="00B4676B">
      <w:pPr>
        <w:rPr>
          <w:b/>
          <w:bCs/>
        </w:rPr>
      </w:pPr>
    </w:p>
    <w:p w14:paraId="4FA2B6DA" w14:textId="1D7FF5AE" w:rsidR="00F2686C" w:rsidRPr="00F2686C" w:rsidRDefault="00F2686C" w:rsidP="00B4676B">
      <w:r w:rsidRPr="00F2686C">
        <w:rPr>
          <w:b/>
          <w:bCs/>
        </w:rPr>
        <w:t>Site Selection and Preparation</w:t>
      </w:r>
    </w:p>
    <w:p w14:paraId="43D1E118" w14:textId="77777777" w:rsidR="00B4676B" w:rsidRDefault="00F2686C" w:rsidP="00B4676B">
      <w:r w:rsidRPr="00F2686C">
        <w:t>Identify the injection site, ensuring site rotation each week. Suitable sites include:</w:t>
      </w:r>
    </w:p>
    <w:p w14:paraId="1FAC40FB" w14:textId="77777777" w:rsidR="00B4676B" w:rsidRDefault="00F2686C" w:rsidP="00B4676B">
      <w:pPr>
        <w:pStyle w:val="ListParagraph"/>
        <w:numPr>
          <w:ilvl w:val="0"/>
          <w:numId w:val="35"/>
        </w:numPr>
      </w:pPr>
      <w:r w:rsidRPr="00F2686C">
        <w:lastRenderedPageBreak/>
        <w:t>Abdomen (avoiding a 5cm diameter around the umbilicus).</w:t>
      </w:r>
    </w:p>
    <w:p w14:paraId="20884D2A" w14:textId="77777777" w:rsidR="00B4676B" w:rsidRDefault="00F2686C" w:rsidP="00B4676B">
      <w:pPr>
        <w:pStyle w:val="ListParagraph"/>
        <w:numPr>
          <w:ilvl w:val="0"/>
          <w:numId w:val="35"/>
        </w:numPr>
      </w:pPr>
      <w:r w:rsidRPr="00F2686C">
        <w:t>Thighs.</w:t>
      </w:r>
    </w:p>
    <w:p w14:paraId="385352EB" w14:textId="77777777" w:rsidR="00B4676B" w:rsidRDefault="00F2686C" w:rsidP="00B4676B">
      <w:pPr>
        <w:pStyle w:val="ListParagraph"/>
        <w:numPr>
          <w:ilvl w:val="0"/>
          <w:numId w:val="35"/>
        </w:numPr>
      </w:pPr>
      <w:r w:rsidRPr="00F2686C">
        <w:t>Upper arms (not for self-administration unless a sufficient subcutaneous layer exists).</w:t>
      </w:r>
    </w:p>
    <w:p w14:paraId="4CFE852F" w14:textId="77777777" w:rsidR="00B4676B" w:rsidRDefault="00F2686C" w:rsidP="00B4676B">
      <w:pPr>
        <w:pStyle w:val="ListParagraph"/>
        <w:numPr>
          <w:ilvl w:val="0"/>
          <w:numId w:val="35"/>
        </w:numPr>
      </w:pPr>
      <w:r w:rsidRPr="00F2686C">
        <w:t>Ensure the skin is clean and dry. Alcohol swabbing is unnecessary if the skin is socially clean.</w:t>
      </w:r>
    </w:p>
    <w:p w14:paraId="1C2A0021" w14:textId="77777777" w:rsidR="00B4676B" w:rsidRDefault="00B4676B" w:rsidP="00B4676B">
      <w:pPr>
        <w:rPr>
          <w:b/>
          <w:bCs/>
        </w:rPr>
      </w:pPr>
    </w:p>
    <w:p w14:paraId="7A017223" w14:textId="77777777" w:rsidR="00A81BBD" w:rsidRDefault="00F2686C" w:rsidP="00A81BBD">
      <w:r w:rsidRPr="00B4676B">
        <w:rPr>
          <w:b/>
          <w:bCs/>
        </w:rPr>
        <w:t>Injection Process</w:t>
      </w:r>
    </w:p>
    <w:p w14:paraId="28A3F886" w14:textId="427768EF" w:rsidR="00CA6B0C" w:rsidRDefault="00F2686C" w:rsidP="00A81BBD">
      <w:r w:rsidRPr="00F2686C">
        <w:t>Do not remove the yellow protection cap until ready to administer.</w:t>
      </w:r>
    </w:p>
    <w:p w14:paraId="1E947A4F" w14:textId="77777777" w:rsidR="00CA6B0C" w:rsidRDefault="00F2686C" w:rsidP="00A81BBD">
      <w:r w:rsidRPr="00F2686C">
        <w:t>Remove the yellow protection cap by pulling it downwards, revealing the needle shield. Do not twist or bend the cap.</w:t>
      </w:r>
    </w:p>
    <w:p w14:paraId="118A84C2" w14:textId="77777777" w:rsidR="00CA6B0C" w:rsidRDefault="00F2686C" w:rsidP="00A81BBD">
      <w:r w:rsidRPr="00F2686C">
        <w:t>Gently pinch the skin at the injection site using your thumb and index finger to create a firm surface.</w:t>
      </w:r>
    </w:p>
    <w:p w14:paraId="027C5B8B" w14:textId="77777777" w:rsidR="00CA6B0C" w:rsidRDefault="00F2686C" w:rsidP="00A81BBD">
      <w:r w:rsidRPr="00F2686C">
        <w:t>Position the device at a 90-degree angle to the skin and press firmly until the needle shield slides fully into the viewing window, unlocking the yellow release button.</w:t>
      </w:r>
    </w:p>
    <w:p w14:paraId="0FC95FCB" w14:textId="77777777" w:rsidR="00CA6B0C" w:rsidRDefault="00F2686C" w:rsidP="00A81BBD">
      <w:r w:rsidRPr="00F2686C">
        <w:t>Press the yellow release button with your thumb to start the injection. A clicking sound will confirm the injection has started.</w:t>
      </w:r>
    </w:p>
    <w:p w14:paraId="091EDEA2" w14:textId="7B448C5A" w:rsidR="00F2686C" w:rsidRPr="00F2686C" w:rsidRDefault="00F2686C" w:rsidP="00A81BBD">
      <w:r w:rsidRPr="00F2686C">
        <w:t>Hold the device in place for 5 seconds to ensure the medicine is fully injected.</w:t>
      </w:r>
    </w:p>
    <w:p w14:paraId="52426EC1" w14:textId="77777777" w:rsidR="00A81BBD" w:rsidRDefault="00A81BBD" w:rsidP="00A81BBD">
      <w:pPr>
        <w:rPr>
          <w:b/>
          <w:bCs/>
        </w:rPr>
      </w:pPr>
    </w:p>
    <w:p w14:paraId="004FA3C7" w14:textId="4A62FAF5" w:rsidR="00F2686C" w:rsidRPr="00F2686C" w:rsidRDefault="00F2686C" w:rsidP="00A81BBD">
      <w:r w:rsidRPr="00F2686C">
        <w:rPr>
          <w:b/>
          <w:bCs/>
        </w:rPr>
        <w:t>Post-Injection Steps</w:t>
      </w:r>
    </w:p>
    <w:p w14:paraId="479004FA" w14:textId="77777777" w:rsidR="00CA6B0C" w:rsidRDefault="00F2686C" w:rsidP="00A81BBD">
      <w:r w:rsidRPr="00F2686C">
        <w:t>Release the skin and remove the device.</w:t>
      </w:r>
    </w:p>
    <w:p w14:paraId="15B9C9B8" w14:textId="77777777" w:rsidR="00CA6B0C" w:rsidRDefault="00F2686C" w:rsidP="00A81BBD">
      <w:r w:rsidRPr="00F2686C">
        <w:t>Dispose of the used device directly into a cytotoxic sharps bin.</w:t>
      </w:r>
    </w:p>
    <w:p w14:paraId="4686272B" w14:textId="77777777" w:rsidR="00CA6B0C" w:rsidRDefault="00F2686C" w:rsidP="00A81BBD">
      <w:r w:rsidRPr="00F2686C">
        <w:t>Dab any leakage at the injection site with cotton wool, a swab, or tissue.</w:t>
      </w:r>
    </w:p>
    <w:p w14:paraId="32663D8F" w14:textId="58BF860B" w:rsidR="00F2686C" w:rsidRPr="00F2686C" w:rsidRDefault="00F2686C" w:rsidP="00A81BBD">
      <w:r w:rsidRPr="00F2686C">
        <w:t>Dispose of gloves, the apron, and any used swabs/tissues in the sharps bin.</w:t>
      </w:r>
    </w:p>
    <w:p w14:paraId="52AB85AE" w14:textId="77777777" w:rsidR="00A81BBD" w:rsidRDefault="00A81BBD" w:rsidP="00A81BBD">
      <w:pPr>
        <w:rPr>
          <w:b/>
          <w:bCs/>
        </w:rPr>
      </w:pPr>
    </w:p>
    <w:p w14:paraId="17546208" w14:textId="6C494A12" w:rsidR="00F2686C" w:rsidRPr="00F2686C" w:rsidRDefault="00F2686C" w:rsidP="00A81BBD">
      <w:r w:rsidRPr="00F2686C">
        <w:rPr>
          <w:b/>
          <w:bCs/>
        </w:rPr>
        <w:t>Final Steps</w:t>
      </w:r>
    </w:p>
    <w:p w14:paraId="4825C435" w14:textId="57C7FF9B" w:rsidR="006613FD" w:rsidRDefault="00F2686C" w:rsidP="00BE1EF3">
      <w:r>
        <w:t>Wash and dry hands thoroughly.</w:t>
      </w:r>
    </w:p>
    <w:p w14:paraId="61B9EE78" w14:textId="77777777" w:rsidR="003F05DC" w:rsidRDefault="003F05DC" w:rsidP="00BE1EF3"/>
    <w:p w14:paraId="14493590" w14:textId="77777777" w:rsidR="003F05DC" w:rsidRDefault="003F05DC" w:rsidP="00BE1EF3"/>
    <w:p w14:paraId="7A681E6A" w14:textId="1E5B107B" w:rsidR="00C676A7" w:rsidRPr="00C5355B" w:rsidRDefault="00F7089A" w:rsidP="00C5355B">
      <w:pPr>
        <w:pStyle w:val="Heading1"/>
      </w:pPr>
      <w:bookmarkStart w:id="4" w:name="_Toc184886550"/>
      <w:r w:rsidRPr="00C5355B">
        <w:lastRenderedPageBreak/>
        <w:t>SOP 4</w:t>
      </w:r>
      <w:r w:rsidR="00D64D76" w:rsidRPr="00C5355B">
        <w:t xml:space="preserve"> Disposal of </w:t>
      </w:r>
      <w:r w:rsidR="00FF6862" w:rsidRPr="00C5355B">
        <w:t>e</w:t>
      </w:r>
      <w:r w:rsidR="00D64D76" w:rsidRPr="00C5355B">
        <w:t>quipment</w:t>
      </w:r>
      <w:r w:rsidR="00FF6862" w:rsidRPr="00C5355B">
        <w:t xml:space="preserve"> following administration of subcutaneous </w:t>
      </w:r>
      <w:r w:rsidR="00336AD1" w:rsidRPr="00C5355B">
        <w:t>methotrexate</w:t>
      </w:r>
      <w:bookmarkEnd w:id="4"/>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318DA48" w14:textId="77777777" w:rsidTr="008219A5">
        <w:tc>
          <w:tcPr>
            <w:tcW w:w="9493" w:type="dxa"/>
            <w:tcBorders>
              <w:top w:val="single" w:sz="4" w:space="0" w:color="auto"/>
              <w:bottom w:val="single" w:sz="4" w:space="0" w:color="auto"/>
            </w:tcBorders>
            <w:shd w:val="clear" w:color="auto" w:fill="E6E6E6"/>
          </w:tcPr>
          <w:p w14:paraId="174BF769" w14:textId="77777777" w:rsidR="006979D0" w:rsidRPr="00627A52" w:rsidRDefault="006979D0" w:rsidP="00ED16EC">
            <w:pPr>
              <w:rPr>
                <w:rFonts w:cs="Arial"/>
                <w:b/>
                <w:i/>
              </w:rPr>
            </w:pPr>
            <w:r w:rsidRPr="00C676A7">
              <w:rPr>
                <w:rFonts w:cs="Arial"/>
                <w:b/>
                <w:i/>
                <w:szCs w:val="22"/>
              </w:rPr>
              <w:t>Purpose</w:t>
            </w:r>
          </w:p>
        </w:tc>
      </w:tr>
    </w:tbl>
    <w:p w14:paraId="2BA226A1" w14:textId="630DD7CE" w:rsidR="006979D0" w:rsidRPr="00F7089A" w:rsidRDefault="00873A5A" w:rsidP="00873A5A">
      <w:pPr>
        <w:jc w:val="left"/>
      </w:pPr>
      <w:r>
        <w:t>Ensure safe disposal of all materials used in methotrexate administration.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11D27B9" w14:textId="77777777" w:rsidTr="008219A5">
        <w:tc>
          <w:tcPr>
            <w:tcW w:w="9493" w:type="dxa"/>
            <w:shd w:val="clear" w:color="auto" w:fill="E6E6E6"/>
          </w:tcPr>
          <w:p w14:paraId="368BB7A3" w14:textId="77777777" w:rsidR="006979D0" w:rsidRPr="00627A52" w:rsidRDefault="006979D0" w:rsidP="00ED16EC">
            <w:pPr>
              <w:rPr>
                <w:rFonts w:cs="Arial"/>
                <w:b/>
                <w:i/>
              </w:rPr>
            </w:pPr>
            <w:r w:rsidRPr="00C676A7">
              <w:rPr>
                <w:rFonts w:cs="Arial"/>
                <w:b/>
                <w:i/>
                <w:szCs w:val="22"/>
              </w:rPr>
              <w:t>Scope</w:t>
            </w:r>
          </w:p>
        </w:tc>
      </w:tr>
    </w:tbl>
    <w:p w14:paraId="17AD93B2" w14:textId="45D61FFC" w:rsidR="006979D0" w:rsidRPr="00F7089A" w:rsidRDefault="003D0BA5" w:rsidP="00BE1EF3">
      <w:r>
        <w:t xml:space="preserve">Applies to all personnel </w:t>
      </w:r>
      <w:r w:rsidR="008730FA">
        <w:t xml:space="preserve">administering </w:t>
      </w:r>
      <w:r w:rsidR="00C62FA1">
        <w:t>or supporting the administration of</w:t>
      </w:r>
      <w:r>
        <w:t xml:space="preserve"> methotrexate.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D3A7614" w14:textId="77777777" w:rsidTr="008219A5">
        <w:tc>
          <w:tcPr>
            <w:tcW w:w="9493" w:type="dxa"/>
            <w:shd w:val="clear" w:color="auto" w:fill="E6E6E6"/>
          </w:tcPr>
          <w:p w14:paraId="74708134"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5F495C3D" w14:textId="77777777" w:rsidR="00DF7834" w:rsidRDefault="00DF7834" w:rsidP="00025700">
      <w:pPr>
        <w:spacing w:before="0" w:line="240" w:lineRule="auto"/>
        <w:jc w:val="left"/>
      </w:pPr>
    </w:p>
    <w:p w14:paraId="09EAD62F" w14:textId="3AD6D8D6" w:rsidR="008E460B" w:rsidRDefault="008E460B" w:rsidP="00DF7834">
      <w:r>
        <w:t>Practitioners should be up to date on policies in relation to dealing with hazardous waste and sharps safety.</w:t>
      </w:r>
    </w:p>
    <w:p w14:paraId="2DA67844" w14:textId="77777777" w:rsidR="00025700" w:rsidRDefault="00025700" w:rsidP="00DF7834"/>
    <w:p w14:paraId="0A2A77BB" w14:textId="4A158810" w:rsidR="002F1A77" w:rsidRDefault="00C7662C" w:rsidP="00DF7834">
      <w:r>
        <w:t>Refer to t</w:t>
      </w:r>
      <w:r w:rsidR="00271E81">
        <w:t xml:space="preserve">he </w:t>
      </w:r>
      <w:hyperlink r:id="rId18" w:history="1">
        <w:r w:rsidR="00271E81" w:rsidRPr="000F3447">
          <w:rPr>
            <w:rStyle w:val="Hyperlink"/>
          </w:rPr>
          <w:t>FNHC Waste Management Policy</w:t>
        </w:r>
      </w:hyperlink>
      <w:r w:rsidR="00025700">
        <w:t xml:space="preserve"> and </w:t>
      </w:r>
      <w:hyperlink r:id="rId19" w:history="1">
        <w:r w:rsidR="00025700" w:rsidRPr="008A6FB3">
          <w:rPr>
            <w:rStyle w:val="Hyperlink"/>
          </w:rPr>
          <w:t>Sharps Safety Policy</w:t>
        </w:r>
      </w:hyperlink>
      <w:r w:rsidR="00D81545">
        <w:t xml:space="preserve"> regarding</w:t>
      </w:r>
      <w:r w:rsidR="00E308C1">
        <w:t xml:space="preserve"> </w:t>
      </w:r>
      <w:r w:rsidR="00012321">
        <w:t xml:space="preserve">the storage, collection, handling and disposal of cytotoxic clinical waste / sharps.  </w:t>
      </w:r>
    </w:p>
    <w:p w14:paraId="54D7D55C" w14:textId="77777777" w:rsidR="003B3968" w:rsidRDefault="003B3968" w:rsidP="00DF7834"/>
    <w:p w14:paraId="1C349E2E" w14:textId="50A3322F" w:rsidR="003B3968" w:rsidRDefault="00EA02D5" w:rsidP="00DF7834">
      <w:r>
        <w:t>A</w:t>
      </w:r>
      <w:r w:rsidR="003B3968">
        <w:t>ll materials used during the administration should be disposed of in the cytotoxic sharps bin</w:t>
      </w:r>
      <w:r w:rsidR="00754FB1">
        <w:t>, with the e</w:t>
      </w:r>
      <w:r>
        <w:t>xcept</w:t>
      </w:r>
      <w:r w:rsidR="00754FB1">
        <w:t>ion</w:t>
      </w:r>
      <w:r>
        <w:t xml:space="preserve"> for the outer packaging of the auto-injector device</w:t>
      </w:r>
      <w:r w:rsidR="00754FB1">
        <w:t>.</w:t>
      </w:r>
    </w:p>
    <w:p w14:paraId="7E7C221E" w14:textId="77777777" w:rsidR="00754FB1" w:rsidRDefault="00754FB1" w:rsidP="00DF7834"/>
    <w:p w14:paraId="29A50C0D" w14:textId="2880BB8A" w:rsidR="003B3968" w:rsidRDefault="003B3968" w:rsidP="00DF7834">
      <w:r>
        <w:t xml:space="preserve">The FNHC Nurse administering the cytotoxic medication </w:t>
      </w:r>
      <w:r w:rsidR="00D81545">
        <w:t>is</w:t>
      </w:r>
      <w:r>
        <w:t xml:space="preserve"> responsible for the removal</w:t>
      </w:r>
      <w:r w:rsidR="00273624">
        <w:t xml:space="preserve"> of </w:t>
      </w:r>
      <w:r w:rsidR="00D67CF5">
        <w:t xml:space="preserve">used </w:t>
      </w:r>
      <w:r w:rsidR="00273624">
        <w:t>sharps bins</w:t>
      </w:r>
      <w:r>
        <w:t xml:space="preserve"> from the patient’s home. These should be returned to Le Bas Centre</w:t>
      </w:r>
      <w:r w:rsidR="00D67CF5">
        <w:t>.</w:t>
      </w:r>
    </w:p>
    <w:p w14:paraId="64AEFF30" w14:textId="77777777" w:rsidR="00D67CF5" w:rsidRDefault="00D67CF5" w:rsidP="00DF7834"/>
    <w:p w14:paraId="4987C62F" w14:textId="3BCC112F" w:rsidR="003B3968" w:rsidRDefault="003B3968" w:rsidP="00DF7834">
      <w:r>
        <w:t>If the patient or carer are administering the medication, they should be encouraged to follow the procedure for disposal of equipment that was agreed during their training.</w:t>
      </w:r>
    </w:p>
    <w:p w14:paraId="37641A7B" w14:textId="77777777" w:rsidR="00012321" w:rsidRDefault="00012321" w:rsidP="002F1A77">
      <w:pPr>
        <w:spacing w:before="0" w:line="240" w:lineRule="auto"/>
        <w:jc w:val="left"/>
      </w:pPr>
    </w:p>
    <w:p w14:paraId="386D5966" w14:textId="77777777" w:rsidR="00404E26" w:rsidRDefault="00404E26" w:rsidP="002F1A77">
      <w:pPr>
        <w:spacing w:before="0" w:line="240" w:lineRule="auto"/>
        <w:jc w:val="left"/>
      </w:pPr>
    </w:p>
    <w:p w14:paraId="32EF3873" w14:textId="77777777" w:rsidR="002F1A77" w:rsidRDefault="002F1A77" w:rsidP="002F1A77">
      <w:pPr>
        <w:spacing w:before="0" w:line="240" w:lineRule="auto"/>
        <w:jc w:val="left"/>
      </w:pPr>
    </w:p>
    <w:p w14:paraId="4F272EE3" w14:textId="77777777" w:rsidR="002F1A77" w:rsidRDefault="002F1A77" w:rsidP="002F1A77">
      <w:pPr>
        <w:spacing w:before="0" w:line="240" w:lineRule="auto"/>
        <w:jc w:val="left"/>
      </w:pPr>
    </w:p>
    <w:p w14:paraId="56E00E15" w14:textId="77777777" w:rsidR="002F1A77" w:rsidRDefault="002F1A77" w:rsidP="002F1A77">
      <w:pPr>
        <w:spacing w:before="0" w:line="240" w:lineRule="auto"/>
        <w:jc w:val="left"/>
      </w:pPr>
    </w:p>
    <w:p w14:paraId="62B306A2" w14:textId="77777777" w:rsidR="002F1A77" w:rsidRDefault="002F1A77" w:rsidP="002F1A77">
      <w:pPr>
        <w:spacing w:before="0" w:line="240" w:lineRule="auto"/>
        <w:jc w:val="left"/>
      </w:pPr>
    </w:p>
    <w:p w14:paraId="17D2159F" w14:textId="77777777" w:rsidR="002F1A77" w:rsidRDefault="002F1A77" w:rsidP="002F1A77">
      <w:pPr>
        <w:spacing w:before="0" w:line="240" w:lineRule="auto"/>
        <w:jc w:val="left"/>
      </w:pPr>
    </w:p>
    <w:p w14:paraId="401424FA" w14:textId="77777777" w:rsidR="00F86A85" w:rsidRDefault="00F86A85" w:rsidP="002F1A77">
      <w:pPr>
        <w:spacing w:before="0" w:line="240" w:lineRule="auto"/>
        <w:jc w:val="left"/>
      </w:pPr>
    </w:p>
    <w:p w14:paraId="3FFB6EB8" w14:textId="77777777" w:rsidR="00DF7834" w:rsidRDefault="00DF7834" w:rsidP="00387D8B"/>
    <w:p w14:paraId="4BEB46B3" w14:textId="77777777" w:rsidR="006613FD" w:rsidRPr="006613FD" w:rsidRDefault="006613FD" w:rsidP="006613FD"/>
    <w:p w14:paraId="6C1637F5" w14:textId="758D1214" w:rsidR="00E122DF" w:rsidRPr="00D64D76" w:rsidRDefault="00E122DF" w:rsidP="00E122DF">
      <w:pPr>
        <w:pStyle w:val="Heading1"/>
        <w:rPr>
          <w:sz w:val="22"/>
          <w:szCs w:val="24"/>
        </w:rPr>
      </w:pPr>
      <w:bookmarkStart w:id="5" w:name="_Toc184886551"/>
      <w:r w:rsidRPr="00BE1EF3">
        <w:lastRenderedPageBreak/>
        <w:t>SOP</w:t>
      </w:r>
      <w:r w:rsidR="00054ADA">
        <w:t xml:space="preserve"> 5</w:t>
      </w:r>
      <w:r w:rsidRPr="000C163A">
        <w:t xml:space="preserve"> </w:t>
      </w:r>
      <w:r w:rsidR="00414137">
        <w:t>Dealing with Spillage</w:t>
      </w:r>
      <w:bookmarkEnd w:id="5"/>
    </w:p>
    <w:tbl>
      <w:tblPr>
        <w:tblW w:w="9067" w:type="dxa"/>
        <w:tblBorders>
          <w:top w:val="single" w:sz="4" w:space="0" w:color="auto"/>
          <w:left w:val="single" w:sz="4" w:space="0" w:color="auto"/>
          <w:right w:val="single" w:sz="4" w:space="0" w:color="auto"/>
        </w:tblBorders>
        <w:tblLook w:val="01E0" w:firstRow="1" w:lastRow="1" w:firstColumn="1" w:lastColumn="1" w:noHBand="0" w:noVBand="0"/>
      </w:tblPr>
      <w:tblGrid>
        <w:gridCol w:w="9067"/>
      </w:tblGrid>
      <w:tr w:rsidR="00E122DF" w:rsidRPr="00627A52" w14:paraId="27832DCC" w14:textId="77777777" w:rsidTr="00242F9E">
        <w:tc>
          <w:tcPr>
            <w:tcW w:w="9067" w:type="dxa"/>
            <w:tcBorders>
              <w:top w:val="single" w:sz="4" w:space="0" w:color="auto"/>
              <w:bottom w:val="single" w:sz="4" w:space="0" w:color="auto"/>
            </w:tcBorders>
            <w:shd w:val="clear" w:color="auto" w:fill="E6E6E6"/>
          </w:tcPr>
          <w:p w14:paraId="2B6D9F40" w14:textId="77777777" w:rsidR="00E122DF" w:rsidRPr="00627A52" w:rsidRDefault="00E122DF" w:rsidP="00405754">
            <w:pPr>
              <w:rPr>
                <w:rFonts w:cs="Arial"/>
                <w:b/>
                <w:i/>
              </w:rPr>
            </w:pPr>
            <w:r w:rsidRPr="00C676A7">
              <w:rPr>
                <w:rFonts w:cs="Arial"/>
                <w:b/>
                <w:i/>
                <w:szCs w:val="22"/>
              </w:rPr>
              <w:t>Purpose</w:t>
            </w:r>
          </w:p>
        </w:tc>
      </w:tr>
    </w:tbl>
    <w:p w14:paraId="6E80B2E3" w14:textId="46C1FA5C" w:rsidR="00E122DF" w:rsidRPr="00F7089A" w:rsidRDefault="00C50106" w:rsidP="00C50106">
      <w:pPr>
        <w:jc w:val="left"/>
      </w:pPr>
      <w:r>
        <w:t>Enable safe handling of methotrexate spillage.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E122DF" w:rsidRPr="00627A52" w14:paraId="0A59E718" w14:textId="77777777" w:rsidTr="00242F9E">
        <w:tc>
          <w:tcPr>
            <w:tcW w:w="9026" w:type="dxa"/>
            <w:shd w:val="clear" w:color="auto" w:fill="E6E6E6"/>
          </w:tcPr>
          <w:p w14:paraId="5A5BAF1E" w14:textId="77777777" w:rsidR="00E122DF" w:rsidRPr="00627A52" w:rsidRDefault="00E122DF" w:rsidP="00405754">
            <w:pPr>
              <w:rPr>
                <w:rFonts w:cs="Arial"/>
                <w:b/>
                <w:i/>
              </w:rPr>
            </w:pPr>
            <w:r w:rsidRPr="00C676A7">
              <w:rPr>
                <w:rFonts w:cs="Arial"/>
                <w:b/>
                <w:i/>
                <w:szCs w:val="22"/>
              </w:rPr>
              <w:t>Scope</w:t>
            </w:r>
          </w:p>
        </w:tc>
      </w:tr>
    </w:tbl>
    <w:p w14:paraId="36034B5A" w14:textId="34B81BC7" w:rsidR="00E122DF" w:rsidRPr="00F7089A" w:rsidRDefault="00BB4FCE" w:rsidP="00E122DF">
      <w:r>
        <w:t>Applies to all staff managing methotrexate spillage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E122DF" w:rsidRPr="00627A52" w14:paraId="266611B9" w14:textId="77777777" w:rsidTr="00242F9E">
        <w:tc>
          <w:tcPr>
            <w:tcW w:w="9026" w:type="dxa"/>
            <w:shd w:val="clear" w:color="auto" w:fill="E6E6E6"/>
          </w:tcPr>
          <w:p w14:paraId="376E880C" w14:textId="77777777" w:rsidR="00E122DF" w:rsidRPr="00627A52" w:rsidRDefault="00E122DF" w:rsidP="00405754">
            <w:pPr>
              <w:rPr>
                <w:rFonts w:cs="Arial"/>
                <w:b/>
                <w:i/>
              </w:rPr>
            </w:pPr>
            <w:r w:rsidRPr="00C676A7">
              <w:rPr>
                <w:rFonts w:cs="Arial"/>
                <w:b/>
                <w:i/>
                <w:szCs w:val="22"/>
              </w:rPr>
              <w:t>Core Requirements</w:t>
            </w:r>
            <w:r>
              <w:rPr>
                <w:rFonts w:cs="Arial"/>
                <w:b/>
                <w:i/>
                <w:szCs w:val="22"/>
              </w:rPr>
              <w:t>/Procedure</w:t>
            </w:r>
          </w:p>
        </w:tc>
      </w:tr>
    </w:tbl>
    <w:p w14:paraId="3D3308D3" w14:textId="77777777" w:rsidR="003566A5" w:rsidRDefault="003566A5" w:rsidP="000760E5">
      <w:pPr>
        <w:spacing w:before="0" w:line="240" w:lineRule="auto"/>
        <w:jc w:val="left"/>
      </w:pPr>
    </w:p>
    <w:p w14:paraId="4C3C5A27" w14:textId="1DBCD3A7" w:rsidR="00FB43AE" w:rsidRPr="00BA0501" w:rsidRDefault="00093726" w:rsidP="000F0914">
      <w:r>
        <w:t xml:space="preserve">Refer to the </w:t>
      </w:r>
      <w:hyperlink r:id="rId20" w:history="1">
        <w:r w:rsidRPr="000F3447">
          <w:rPr>
            <w:rStyle w:val="Hyperlink"/>
          </w:rPr>
          <w:t xml:space="preserve">FNHC </w:t>
        </w:r>
        <w:r w:rsidR="00C007F7" w:rsidRPr="000F3447">
          <w:rPr>
            <w:rStyle w:val="Hyperlink"/>
          </w:rPr>
          <w:t>Waste Management Policy</w:t>
        </w:r>
      </w:hyperlink>
      <w:r w:rsidR="00C007F7">
        <w:t xml:space="preserve">, including procedures for dealing with accidental spillages in relevant settings.  </w:t>
      </w:r>
    </w:p>
    <w:p w14:paraId="425B559F" w14:textId="77777777" w:rsidR="00FB43AE" w:rsidRDefault="00FB43AE" w:rsidP="000F0914">
      <w:r>
        <w:t>When methotrexate is administered using a licensed autoinjector pre-filled PEN or pre-filled injector device (not a syringe), the risk of spillage and exposure is minimal.</w:t>
      </w:r>
    </w:p>
    <w:p w14:paraId="44F08B3B" w14:textId="77777777" w:rsidR="00FB43AE" w:rsidRDefault="00FB43AE" w:rsidP="000F0914">
      <w:r>
        <w:t>A spillage kit is generally not necessary but may be provided to the patient if deemed appropriate. Refer to local policies for specific guidance.</w:t>
      </w:r>
    </w:p>
    <w:p w14:paraId="4C30FD8A" w14:textId="5B1A216F" w:rsidR="003566A5" w:rsidRDefault="00FB43AE" w:rsidP="000F0914">
      <w:r>
        <w:t>Patients and carers should be informed of the appropriate actions to take in case of a spillage.</w:t>
      </w:r>
    </w:p>
    <w:p w14:paraId="3CBA747B" w14:textId="77777777" w:rsidR="00FB43AE" w:rsidRDefault="00FB43AE" w:rsidP="000F0914"/>
    <w:p w14:paraId="75BC3FF6" w14:textId="77777777" w:rsidR="000F0914" w:rsidRPr="008B24BA" w:rsidRDefault="000F0914" w:rsidP="000F0914">
      <w:pPr>
        <w:rPr>
          <w:b/>
          <w:bCs/>
        </w:rPr>
      </w:pPr>
      <w:r w:rsidRPr="008B24BA">
        <w:rPr>
          <w:b/>
          <w:bCs/>
        </w:rPr>
        <w:t>Spillage on Clothing</w:t>
      </w:r>
    </w:p>
    <w:p w14:paraId="6E098B68" w14:textId="77777777" w:rsidR="008B24BA" w:rsidRDefault="000F0914" w:rsidP="000F0914">
      <w:pPr>
        <w:pStyle w:val="ListParagraph"/>
        <w:numPr>
          <w:ilvl w:val="0"/>
          <w:numId w:val="22"/>
        </w:numPr>
      </w:pPr>
      <w:r>
        <w:t>Wear protective gloves and blot the affected area with a paper towel or kitchen roll. Dispose of the material in a cytotoxic bin</w:t>
      </w:r>
      <w:r w:rsidR="008B24BA">
        <w:t>.</w:t>
      </w:r>
    </w:p>
    <w:p w14:paraId="1DB5A358" w14:textId="77777777" w:rsidR="008B24BA" w:rsidRDefault="000F0914" w:rsidP="000F0914">
      <w:pPr>
        <w:pStyle w:val="ListParagraph"/>
        <w:numPr>
          <w:ilvl w:val="0"/>
          <w:numId w:val="22"/>
        </w:numPr>
      </w:pPr>
      <w:r>
        <w:t>Remove the contaminated clothing immediately as a precaution and wash it separately from other items.</w:t>
      </w:r>
    </w:p>
    <w:p w14:paraId="0B8551DF" w14:textId="77777777" w:rsidR="008B24BA" w:rsidRDefault="000F0914" w:rsidP="000F0914">
      <w:pPr>
        <w:pStyle w:val="ListParagraph"/>
        <w:numPr>
          <w:ilvl w:val="0"/>
          <w:numId w:val="22"/>
        </w:numPr>
      </w:pPr>
      <w:r>
        <w:t>Wash hands thoroughly after handling the spillage.</w:t>
      </w:r>
    </w:p>
    <w:p w14:paraId="38A2789D" w14:textId="77777777" w:rsidR="00EF3A70" w:rsidRDefault="000F0914" w:rsidP="000F0914">
      <w:pPr>
        <w:rPr>
          <w:b/>
          <w:bCs/>
        </w:rPr>
      </w:pPr>
      <w:r w:rsidRPr="00EF3A70">
        <w:rPr>
          <w:b/>
          <w:bCs/>
        </w:rPr>
        <w:t>Spillage on Skin</w:t>
      </w:r>
    </w:p>
    <w:p w14:paraId="2E117BC4" w14:textId="77777777" w:rsidR="00EF3A70" w:rsidRPr="00EF3A70" w:rsidRDefault="000F0914" w:rsidP="000F0914">
      <w:pPr>
        <w:pStyle w:val="ListParagraph"/>
        <w:numPr>
          <w:ilvl w:val="0"/>
          <w:numId w:val="23"/>
        </w:numPr>
        <w:rPr>
          <w:b/>
          <w:bCs/>
        </w:rPr>
      </w:pPr>
      <w:r>
        <w:t>Methotrexate has poor dermal absorption, but if it comes into contact with skin, wash the area thoroughly with soap and cold water.</w:t>
      </w:r>
    </w:p>
    <w:p w14:paraId="5EB430EC" w14:textId="56199261" w:rsidR="000F0914" w:rsidRPr="00EF3A70" w:rsidRDefault="000F0914" w:rsidP="000F0914">
      <w:pPr>
        <w:pStyle w:val="ListParagraph"/>
        <w:numPr>
          <w:ilvl w:val="0"/>
          <w:numId w:val="23"/>
        </w:numPr>
        <w:rPr>
          <w:b/>
          <w:bCs/>
        </w:rPr>
      </w:pPr>
      <w:r>
        <w:t>Methotrexate is not a vesicant and does not cause blistering, but prompt washing is recommended.</w:t>
      </w:r>
    </w:p>
    <w:p w14:paraId="12E00826" w14:textId="77777777" w:rsidR="00EF3A70" w:rsidRPr="00EF3A70" w:rsidRDefault="00EF3A70" w:rsidP="00EF3A70">
      <w:pPr>
        <w:pStyle w:val="ListParagraph"/>
        <w:rPr>
          <w:b/>
          <w:bCs/>
        </w:rPr>
      </w:pPr>
    </w:p>
    <w:p w14:paraId="679DC4C6" w14:textId="77777777" w:rsidR="00EF3A70" w:rsidRDefault="000F0914" w:rsidP="000F0914">
      <w:pPr>
        <w:rPr>
          <w:b/>
          <w:bCs/>
        </w:rPr>
      </w:pPr>
      <w:r w:rsidRPr="00EF3A70">
        <w:rPr>
          <w:b/>
          <w:bCs/>
        </w:rPr>
        <w:t>Spillage in the Eye</w:t>
      </w:r>
    </w:p>
    <w:p w14:paraId="524AC81D" w14:textId="77777777" w:rsidR="00EF3A70" w:rsidRPr="00EF3A70" w:rsidRDefault="000F0914" w:rsidP="000F0914">
      <w:pPr>
        <w:pStyle w:val="ListParagraph"/>
        <w:numPr>
          <w:ilvl w:val="0"/>
          <w:numId w:val="24"/>
        </w:numPr>
        <w:rPr>
          <w:b/>
          <w:bCs/>
        </w:rPr>
      </w:pPr>
      <w:r>
        <w:t>Rinse the eye with plenty of water for several minutes.</w:t>
      </w:r>
    </w:p>
    <w:p w14:paraId="24AEAC6E" w14:textId="77777777" w:rsidR="003A09EB" w:rsidRPr="003A09EB" w:rsidRDefault="000F0914" w:rsidP="000F0914">
      <w:pPr>
        <w:pStyle w:val="ListParagraph"/>
        <w:numPr>
          <w:ilvl w:val="0"/>
          <w:numId w:val="24"/>
        </w:numPr>
        <w:rPr>
          <w:b/>
          <w:bCs/>
        </w:rPr>
      </w:pPr>
      <w:r>
        <w:t>If any side effects occur, contact a doctor immediately.</w:t>
      </w:r>
    </w:p>
    <w:p w14:paraId="3E0E06E0" w14:textId="66D56C75" w:rsidR="000F0914" w:rsidRPr="003A09EB" w:rsidRDefault="000F0914" w:rsidP="000F0914">
      <w:pPr>
        <w:pStyle w:val="ListParagraph"/>
        <w:numPr>
          <w:ilvl w:val="0"/>
          <w:numId w:val="24"/>
        </w:numPr>
        <w:rPr>
          <w:b/>
          <w:bCs/>
        </w:rPr>
      </w:pPr>
      <w:r>
        <w:t>Some care settings may provide an eye wash kit if required.</w:t>
      </w:r>
    </w:p>
    <w:p w14:paraId="347F3575" w14:textId="77777777" w:rsidR="003A09EB" w:rsidRDefault="000F0914" w:rsidP="000F0914">
      <w:pPr>
        <w:rPr>
          <w:b/>
          <w:bCs/>
        </w:rPr>
      </w:pPr>
      <w:r w:rsidRPr="003A09EB">
        <w:rPr>
          <w:b/>
          <w:bCs/>
        </w:rPr>
        <w:t>Spillage on Floors or Work Surfaces</w:t>
      </w:r>
    </w:p>
    <w:p w14:paraId="6C210D62" w14:textId="77777777" w:rsidR="003A09EB" w:rsidRPr="003A09EB" w:rsidRDefault="000F0914" w:rsidP="000F0914">
      <w:pPr>
        <w:pStyle w:val="ListParagraph"/>
        <w:numPr>
          <w:ilvl w:val="0"/>
          <w:numId w:val="25"/>
        </w:numPr>
        <w:rPr>
          <w:b/>
          <w:bCs/>
        </w:rPr>
      </w:pPr>
      <w:r>
        <w:lastRenderedPageBreak/>
        <w:t>Wear gloves and cover the spillage with absorbent paper.</w:t>
      </w:r>
    </w:p>
    <w:p w14:paraId="38DC3C0C" w14:textId="77777777" w:rsidR="003A09EB" w:rsidRPr="003A09EB" w:rsidRDefault="000F0914" w:rsidP="000F0914">
      <w:pPr>
        <w:pStyle w:val="ListParagraph"/>
        <w:numPr>
          <w:ilvl w:val="0"/>
          <w:numId w:val="25"/>
        </w:numPr>
        <w:rPr>
          <w:b/>
          <w:bCs/>
        </w:rPr>
      </w:pPr>
      <w:r>
        <w:t>Clean the area with soap and water, then dry with paper tissue.</w:t>
      </w:r>
    </w:p>
    <w:p w14:paraId="7B7F2AA0" w14:textId="60AC687A" w:rsidR="00FB43AE" w:rsidRPr="00C16B3F" w:rsidRDefault="000F0914" w:rsidP="000F0914">
      <w:pPr>
        <w:pStyle w:val="ListParagraph"/>
        <w:numPr>
          <w:ilvl w:val="0"/>
          <w:numId w:val="25"/>
        </w:numPr>
        <w:rPr>
          <w:b/>
          <w:bCs/>
        </w:rPr>
      </w:pPr>
      <w:r>
        <w:t>Dispose of used materials in a cytotoxic bin</w:t>
      </w:r>
      <w:r w:rsidR="000E1201">
        <w:t>.</w:t>
      </w:r>
    </w:p>
    <w:p w14:paraId="00AFC672" w14:textId="77777777" w:rsidR="00C16B3F" w:rsidRDefault="00C16B3F" w:rsidP="0005736B"/>
    <w:p w14:paraId="051FA30F" w14:textId="3AB202D8" w:rsidR="00C16B3F" w:rsidRDefault="00C16B3F" w:rsidP="0005736B">
      <w:r>
        <w:t>Wash hands thoroughly after dealing with the spillage.</w:t>
      </w:r>
    </w:p>
    <w:p w14:paraId="2F4D3B4C" w14:textId="22A60D84" w:rsidR="00C16B3F" w:rsidRPr="0005736B" w:rsidRDefault="0005736B" w:rsidP="0005736B">
      <w:pPr>
        <w:rPr>
          <w:b/>
          <w:bCs/>
        </w:rPr>
      </w:pPr>
      <w:r w:rsidRPr="0005736B">
        <w:rPr>
          <w:b/>
          <w:bCs/>
        </w:rPr>
        <w:t>The spillage must be reported using the “Assure” incident reporting system.</w:t>
      </w:r>
    </w:p>
    <w:p w14:paraId="2D9490E7" w14:textId="77777777" w:rsidR="00FB43AE" w:rsidRDefault="00FB43AE" w:rsidP="000760E5">
      <w:pPr>
        <w:spacing w:before="0" w:line="240" w:lineRule="auto"/>
        <w:jc w:val="left"/>
      </w:pPr>
    </w:p>
    <w:p w14:paraId="6B91D6FA" w14:textId="77777777" w:rsidR="00FB43AE" w:rsidRDefault="00FB43AE" w:rsidP="000760E5">
      <w:pPr>
        <w:spacing w:before="0" w:line="240" w:lineRule="auto"/>
        <w:jc w:val="left"/>
      </w:pPr>
    </w:p>
    <w:p w14:paraId="5149EFB8" w14:textId="77777777" w:rsidR="001136D0" w:rsidRDefault="001136D0" w:rsidP="000760E5">
      <w:pPr>
        <w:spacing w:before="0" w:line="240" w:lineRule="auto"/>
        <w:jc w:val="left"/>
      </w:pPr>
    </w:p>
    <w:p w14:paraId="162DFF59" w14:textId="77777777" w:rsidR="001136D0" w:rsidRDefault="001136D0" w:rsidP="000760E5">
      <w:pPr>
        <w:spacing w:before="0" w:line="240" w:lineRule="auto"/>
        <w:jc w:val="left"/>
      </w:pPr>
    </w:p>
    <w:p w14:paraId="23B903E8" w14:textId="77777777" w:rsidR="001136D0" w:rsidRDefault="001136D0" w:rsidP="000760E5">
      <w:pPr>
        <w:spacing w:before="0" w:line="240" w:lineRule="auto"/>
        <w:jc w:val="left"/>
      </w:pPr>
    </w:p>
    <w:p w14:paraId="24776F70" w14:textId="77777777" w:rsidR="001136D0" w:rsidRDefault="001136D0" w:rsidP="000760E5">
      <w:pPr>
        <w:spacing w:before="0" w:line="240" w:lineRule="auto"/>
        <w:jc w:val="left"/>
      </w:pPr>
    </w:p>
    <w:p w14:paraId="111583DC" w14:textId="77777777" w:rsidR="001136D0" w:rsidRDefault="001136D0" w:rsidP="000760E5">
      <w:pPr>
        <w:spacing w:before="0" w:line="240" w:lineRule="auto"/>
        <w:jc w:val="left"/>
      </w:pPr>
    </w:p>
    <w:p w14:paraId="0DBA2DA5" w14:textId="77777777" w:rsidR="001136D0" w:rsidRDefault="001136D0" w:rsidP="000760E5">
      <w:pPr>
        <w:spacing w:before="0" w:line="240" w:lineRule="auto"/>
        <w:jc w:val="left"/>
      </w:pPr>
    </w:p>
    <w:p w14:paraId="0B36649B" w14:textId="77777777" w:rsidR="001136D0" w:rsidRDefault="001136D0" w:rsidP="000760E5">
      <w:pPr>
        <w:spacing w:before="0" w:line="240" w:lineRule="auto"/>
        <w:jc w:val="left"/>
      </w:pPr>
    </w:p>
    <w:p w14:paraId="778FD6D3" w14:textId="77777777" w:rsidR="001136D0" w:rsidRDefault="001136D0" w:rsidP="000760E5">
      <w:pPr>
        <w:spacing w:before="0" w:line="240" w:lineRule="auto"/>
        <w:jc w:val="left"/>
      </w:pPr>
    </w:p>
    <w:p w14:paraId="2CB3A31F" w14:textId="77777777" w:rsidR="001136D0" w:rsidRDefault="001136D0" w:rsidP="000760E5">
      <w:pPr>
        <w:spacing w:before="0" w:line="240" w:lineRule="auto"/>
        <w:jc w:val="left"/>
      </w:pPr>
    </w:p>
    <w:p w14:paraId="1820A769" w14:textId="77777777" w:rsidR="001136D0" w:rsidRDefault="001136D0" w:rsidP="000760E5">
      <w:pPr>
        <w:spacing w:before="0" w:line="240" w:lineRule="auto"/>
        <w:jc w:val="left"/>
      </w:pPr>
    </w:p>
    <w:p w14:paraId="60ADA782" w14:textId="77777777" w:rsidR="001136D0" w:rsidRDefault="001136D0" w:rsidP="000760E5">
      <w:pPr>
        <w:spacing w:before="0" w:line="240" w:lineRule="auto"/>
        <w:jc w:val="left"/>
      </w:pPr>
    </w:p>
    <w:p w14:paraId="281D2234" w14:textId="77777777" w:rsidR="001136D0" w:rsidRDefault="001136D0" w:rsidP="000760E5">
      <w:pPr>
        <w:spacing w:before="0" w:line="240" w:lineRule="auto"/>
        <w:jc w:val="left"/>
      </w:pPr>
    </w:p>
    <w:p w14:paraId="0AD48DEA" w14:textId="77777777" w:rsidR="001136D0" w:rsidRDefault="001136D0" w:rsidP="000760E5">
      <w:pPr>
        <w:spacing w:before="0" w:line="240" w:lineRule="auto"/>
        <w:jc w:val="left"/>
      </w:pPr>
    </w:p>
    <w:p w14:paraId="0BB92132" w14:textId="77777777" w:rsidR="001136D0" w:rsidRDefault="001136D0" w:rsidP="000760E5">
      <w:pPr>
        <w:spacing w:before="0" w:line="240" w:lineRule="auto"/>
        <w:jc w:val="left"/>
      </w:pPr>
    </w:p>
    <w:p w14:paraId="297EF073" w14:textId="77777777" w:rsidR="001136D0" w:rsidRDefault="001136D0" w:rsidP="000760E5">
      <w:pPr>
        <w:spacing w:before="0" w:line="240" w:lineRule="auto"/>
        <w:jc w:val="left"/>
      </w:pPr>
    </w:p>
    <w:p w14:paraId="06F7B0FA" w14:textId="77777777" w:rsidR="001136D0" w:rsidRDefault="001136D0" w:rsidP="000760E5">
      <w:pPr>
        <w:spacing w:before="0" w:line="240" w:lineRule="auto"/>
        <w:jc w:val="left"/>
      </w:pPr>
    </w:p>
    <w:p w14:paraId="017C1235" w14:textId="77777777" w:rsidR="001136D0" w:rsidRDefault="001136D0" w:rsidP="000760E5">
      <w:pPr>
        <w:spacing w:before="0" w:line="240" w:lineRule="auto"/>
        <w:jc w:val="left"/>
      </w:pPr>
    </w:p>
    <w:p w14:paraId="3A3AFEB4" w14:textId="77777777" w:rsidR="001136D0" w:rsidRDefault="001136D0" w:rsidP="000760E5">
      <w:pPr>
        <w:spacing w:before="0" w:line="240" w:lineRule="auto"/>
        <w:jc w:val="left"/>
      </w:pPr>
    </w:p>
    <w:p w14:paraId="71FEC903" w14:textId="77777777" w:rsidR="001136D0" w:rsidRDefault="001136D0" w:rsidP="000760E5">
      <w:pPr>
        <w:spacing w:before="0" w:line="240" w:lineRule="auto"/>
        <w:jc w:val="left"/>
      </w:pPr>
    </w:p>
    <w:p w14:paraId="53495274" w14:textId="77777777" w:rsidR="001136D0" w:rsidRDefault="001136D0" w:rsidP="000760E5">
      <w:pPr>
        <w:spacing w:before="0" w:line="240" w:lineRule="auto"/>
        <w:jc w:val="left"/>
      </w:pPr>
    </w:p>
    <w:p w14:paraId="49E339D4" w14:textId="77777777" w:rsidR="001136D0" w:rsidRDefault="001136D0" w:rsidP="000760E5">
      <w:pPr>
        <w:spacing w:before="0" w:line="240" w:lineRule="auto"/>
        <w:jc w:val="left"/>
      </w:pPr>
    </w:p>
    <w:p w14:paraId="101B4157" w14:textId="77777777" w:rsidR="001136D0" w:rsidRDefault="001136D0" w:rsidP="000760E5">
      <w:pPr>
        <w:spacing w:before="0" w:line="240" w:lineRule="auto"/>
        <w:jc w:val="left"/>
      </w:pPr>
    </w:p>
    <w:p w14:paraId="10323FFF" w14:textId="77777777" w:rsidR="001136D0" w:rsidRDefault="001136D0" w:rsidP="000760E5">
      <w:pPr>
        <w:spacing w:before="0" w:line="240" w:lineRule="auto"/>
        <w:jc w:val="left"/>
      </w:pPr>
    </w:p>
    <w:p w14:paraId="19CEB2EE" w14:textId="77777777" w:rsidR="001136D0" w:rsidRDefault="001136D0" w:rsidP="000760E5">
      <w:pPr>
        <w:spacing w:before="0" w:line="240" w:lineRule="auto"/>
        <w:jc w:val="left"/>
      </w:pPr>
    </w:p>
    <w:p w14:paraId="0F47F802" w14:textId="77777777" w:rsidR="00387D8B" w:rsidRDefault="00387D8B" w:rsidP="000760E5">
      <w:pPr>
        <w:spacing w:before="0" w:line="240" w:lineRule="auto"/>
        <w:jc w:val="left"/>
      </w:pPr>
    </w:p>
    <w:p w14:paraId="4C404233" w14:textId="77777777" w:rsidR="00387D8B" w:rsidRDefault="00387D8B" w:rsidP="000760E5">
      <w:pPr>
        <w:spacing w:before="0" w:line="240" w:lineRule="auto"/>
        <w:jc w:val="left"/>
      </w:pPr>
    </w:p>
    <w:p w14:paraId="091283F6" w14:textId="77777777" w:rsidR="00387D8B" w:rsidRDefault="00387D8B" w:rsidP="000760E5">
      <w:pPr>
        <w:spacing w:before="0" w:line="240" w:lineRule="auto"/>
        <w:jc w:val="left"/>
      </w:pPr>
    </w:p>
    <w:p w14:paraId="6140FEF2" w14:textId="77777777" w:rsidR="00387D8B" w:rsidRDefault="00387D8B" w:rsidP="000760E5">
      <w:pPr>
        <w:spacing w:before="0" w:line="240" w:lineRule="auto"/>
        <w:jc w:val="left"/>
      </w:pPr>
    </w:p>
    <w:p w14:paraId="4456AC22" w14:textId="77777777" w:rsidR="001136D0" w:rsidRDefault="001136D0" w:rsidP="000760E5">
      <w:pPr>
        <w:spacing w:before="0" w:line="240" w:lineRule="auto"/>
        <w:jc w:val="left"/>
      </w:pPr>
    </w:p>
    <w:p w14:paraId="6A4CB5AA" w14:textId="77777777" w:rsidR="001136D0" w:rsidRDefault="001136D0" w:rsidP="000760E5">
      <w:pPr>
        <w:spacing w:before="0" w:line="240" w:lineRule="auto"/>
        <w:jc w:val="left"/>
      </w:pPr>
    </w:p>
    <w:p w14:paraId="42DB569A" w14:textId="77777777" w:rsidR="001136D0" w:rsidRDefault="001136D0" w:rsidP="000760E5">
      <w:pPr>
        <w:spacing w:before="0" w:line="240" w:lineRule="auto"/>
        <w:jc w:val="left"/>
      </w:pPr>
    </w:p>
    <w:p w14:paraId="27DCC828" w14:textId="77777777" w:rsidR="001136D0" w:rsidRDefault="001136D0" w:rsidP="000760E5">
      <w:pPr>
        <w:spacing w:before="0" w:line="240" w:lineRule="auto"/>
        <w:jc w:val="left"/>
      </w:pPr>
    </w:p>
    <w:p w14:paraId="3C5FAD57" w14:textId="77777777" w:rsidR="001136D0" w:rsidRDefault="001136D0" w:rsidP="000760E5">
      <w:pPr>
        <w:spacing w:before="0" w:line="240" w:lineRule="auto"/>
        <w:jc w:val="left"/>
      </w:pPr>
    </w:p>
    <w:p w14:paraId="0B492936" w14:textId="77777777" w:rsidR="001136D0" w:rsidRDefault="001136D0" w:rsidP="000760E5">
      <w:pPr>
        <w:spacing w:before="0" w:line="240" w:lineRule="auto"/>
        <w:jc w:val="left"/>
      </w:pPr>
    </w:p>
    <w:p w14:paraId="7AE3302F" w14:textId="77777777" w:rsidR="001136D0" w:rsidRDefault="001136D0" w:rsidP="000760E5">
      <w:pPr>
        <w:spacing w:before="0" w:line="240" w:lineRule="auto"/>
        <w:jc w:val="left"/>
      </w:pPr>
    </w:p>
    <w:p w14:paraId="2C00F105" w14:textId="77777777" w:rsidR="001136D0" w:rsidRDefault="001136D0" w:rsidP="000760E5">
      <w:pPr>
        <w:spacing w:before="0" w:line="240" w:lineRule="auto"/>
        <w:jc w:val="left"/>
      </w:pPr>
    </w:p>
    <w:p w14:paraId="3EECF9D6" w14:textId="27F0F88B" w:rsidR="001136D0" w:rsidRPr="00D64D76" w:rsidRDefault="001136D0" w:rsidP="001136D0">
      <w:pPr>
        <w:pStyle w:val="Heading1"/>
        <w:rPr>
          <w:sz w:val="22"/>
          <w:szCs w:val="24"/>
        </w:rPr>
      </w:pPr>
      <w:bookmarkStart w:id="6" w:name="_Toc184886552"/>
      <w:r w:rsidRPr="00BE1EF3">
        <w:lastRenderedPageBreak/>
        <w:t>SOP</w:t>
      </w:r>
      <w:r>
        <w:t xml:space="preserve"> 6</w:t>
      </w:r>
      <w:r w:rsidRPr="000C163A">
        <w:t xml:space="preserve"> </w:t>
      </w:r>
      <w:r>
        <w:t>Recording the administration of subcutaneous methotrexate</w:t>
      </w:r>
      <w:bookmarkEnd w:id="6"/>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1136D0" w:rsidRPr="00627A52" w14:paraId="4A268FB0" w14:textId="77777777" w:rsidTr="00EA2169">
        <w:tc>
          <w:tcPr>
            <w:tcW w:w="9493" w:type="dxa"/>
            <w:tcBorders>
              <w:top w:val="single" w:sz="4" w:space="0" w:color="auto"/>
              <w:bottom w:val="single" w:sz="4" w:space="0" w:color="auto"/>
            </w:tcBorders>
            <w:shd w:val="clear" w:color="auto" w:fill="E6E6E6"/>
          </w:tcPr>
          <w:p w14:paraId="24396D65" w14:textId="77777777" w:rsidR="001136D0" w:rsidRPr="00627A52" w:rsidRDefault="001136D0" w:rsidP="00405754">
            <w:pPr>
              <w:rPr>
                <w:rFonts w:cs="Arial"/>
                <w:b/>
                <w:i/>
              </w:rPr>
            </w:pPr>
            <w:r w:rsidRPr="00C676A7">
              <w:rPr>
                <w:rFonts w:cs="Arial"/>
                <w:b/>
                <w:i/>
                <w:szCs w:val="22"/>
              </w:rPr>
              <w:t>Purpose</w:t>
            </w:r>
          </w:p>
        </w:tc>
      </w:tr>
    </w:tbl>
    <w:p w14:paraId="2989192F" w14:textId="0EFA4BAA" w:rsidR="001136D0" w:rsidRPr="00F7089A" w:rsidRDefault="001136D0" w:rsidP="001136D0">
      <w:pPr>
        <w:jc w:val="left"/>
      </w:pPr>
      <w:r>
        <w:t xml:space="preserve">To enable the administration of subcutaneous methotrexate to be recorded in line </w:t>
      </w:r>
      <w:r w:rsidR="004B4824">
        <w:t xml:space="preserve">with the </w:t>
      </w:r>
      <w:r w:rsidR="004F60E3">
        <w:t>current version of the</w:t>
      </w:r>
      <w:r w:rsidR="005C6264">
        <w:t xml:space="preserve"> </w:t>
      </w:r>
      <w:hyperlink r:id="rId21" w:history="1">
        <w:r w:rsidR="004B4824" w:rsidRPr="005C6264">
          <w:rPr>
            <w:rStyle w:val="Hyperlink"/>
          </w:rPr>
          <w:t>FNHC Medicines Policy</w:t>
        </w:r>
      </w:hyperlink>
      <w:r w:rsidR="004B4824">
        <w:t xml:space="preserve"> and </w:t>
      </w:r>
      <w:hyperlink r:id="rId22" w:history="1">
        <w:r w:rsidR="004B4824" w:rsidRPr="00FE7AEC">
          <w:rPr>
            <w:rStyle w:val="Hyperlink"/>
          </w:rPr>
          <w:t>FNHC Record Keeping Policy</w:t>
        </w:r>
      </w:hyperlink>
      <w:r w:rsidR="004B4824">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136D0" w:rsidRPr="00627A52" w14:paraId="5FFC7BF2" w14:textId="77777777" w:rsidTr="00EA2169">
        <w:tc>
          <w:tcPr>
            <w:tcW w:w="9493" w:type="dxa"/>
            <w:shd w:val="clear" w:color="auto" w:fill="E6E6E6"/>
          </w:tcPr>
          <w:p w14:paraId="0B97F772" w14:textId="77777777" w:rsidR="001136D0" w:rsidRPr="00627A52" w:rsidRDefault="001136D0" w:rsidP="00405754">
            <w:pPr>
              <w:rPr>
                <w:rFonts w:cs="Arial"/>
                <w:b/>
                <w:i/>
              </w:rPr>
            </w:pPr>
            <w:r w:rsidRPr="00C676A7">
              <w:rPr>
                <w:rFonts w:cs="Arial"/>
                <w:b/>
                <w:i/>
                <w:szCs w:val="22"/>
              </w:rPr>
              <w:t>Scope</w:t>
            </w:r>
          </w:p>
        </w:tc>
      </w:tr>
    </w:tbl>
    <w:p w14:paraId="526B967A" w14:textId="39C6CF31" w:rsidR="001136D0" w:rsidRPr="00F7089A" w:rsidRDefault="009B67FF" w:rsidP="009B67FF">
      <w:r w:rsidRPr="009B67FF">
        <w:t>All FNHC Nurses administering subcutaneous methotrexate or supporting others to do this.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136D0" w:rsidRPr="00627A52" w14:paraId="26766A99" w14:textId="77777777" w:rsidTr="00EA2169">
        <w:tc>
          <w:tcPr>
            <w:tcW w:w="9493" w:type="dxa"/>
            <w:shd w:val="clear" w:color="auto" w:fill="E6E6E6"/>
          </w:tcPr>
          <w:p w14:paraId="0478B9A4" w14:textId="77777777" w:rsidR="001136D0" w:rsidRPr="00627A52" w:rsidRDefault="001136D0" w:rsidP="00405754">
            <w:pPr>
              <w:rPr>
                <w:rFonts w:cs="Arial"/>
                <w:b/>
                <w:i/>
              </w:rPr>
            </w:pPr>
            <w:r w:rsidRPr="00C676A7">
              <w:rPr>
                <w:rFonts w:cs="Arial"/>
                <w:b/>
                <w:i/>
                <w:szCs w:val="22"/>
              </w:rPr>
              <w:t>Core Requirements</w:t>
            </w:r>
            <w:r>
              <w:rPr>
                <w:rFonts w:cs="Arial"/>
                <w:b/>
                <w:i/>
                <w:szCs w:val="22"/>
              </w:rPr>
              <w:t>/Procedure</w:t>
            </w:r>
          </w:p>
        </w:tc>
      </w:tr>
    </w:tbl>
    <w:p w14:paraId="27E434E4" w14:textId="77777777" w:rsidR="001136D0" w:rsidRDefault="001136D0" w:rsidP="001136D0">
      <w:pPr>
        <w:spacing w:before="0" w:line="240" w:lineRule="auto"/>
        <w:jc w:val="left"/>
      </w:pPr>
    </w:p>
    <w:p w14:paraId="7AF5C9EC" w14:textId="1BABBDF4" w:rsidR="001136D0" w:rsidRDefault="009E0B7F" w:rsidP="009E0B7F">
      <w:r w:rsidRPr="009E0B7F">
        <w:t>The administration of subcutaneous methotrexate, as prescribed by the responsible physician, must be documented in the appropriate FNHC Medication Administration Record.</w:t>
      </w:r>
    </w:p>
    <w:p w14:paraId="4A0C7774" w14:textId="77777777" w:rsidR="001136D0" w:rsidRDefault="001136D0" w:rsidP="000760E5">
      <w:pPr>
        <w:spacing w:before="0" w:line="240" w:lineRule="auto"/>
        <w:jc w:val="left"/>
      </w:pPr>
    </w:p>
    <w:p w14:paraId="74BE864D" w14:textId="77777777" w:rsidR="001136D0" w:rsidRDefault="001136D0" w:rsidP="000760E5">
      <w:pPr>
        <w:spacing w:before="0" w:line="240" w:lineRule="auto"/>
        <w:jc w:val="left"/>
      </w:pPr>
    </w:p>
    <w:p w14:paraId="66ED654A" w14:textId="77777777" w:rsidR="001136D0" w:rsidRDefault="001136D0" w:rsidP="000760E5">
      <w:pPr>
        <w:spacing w:before="0" w:line="240" w:lineRule="auto"/>
        <w:jc w:val="left"/>
      </w:pPr>
    </w:p>
    <w:p w14:paraId="72C07101" w14:textId="77777777" w:rsidR="001136D0" w:rsidRDefault="001136D0" w:rsidP="000760E5">
      <w:pPr>
        <w:spacing w:before="0" w:line="240" w:lineRule="auto"/>
        <w:jc w:val="left"/>
      </w:pPr>
    </w:p>
    <w:p w14:paraId="57DA87F0" w14:textId="77777777" w:rsidR="001136D0" w:rsidRDefault="001136D0" w:rsidP="000760E5">
      <w:pPr>
        <w:spacing w:before="0" w:line="240" w:lineRule="auto"/>
        <w:jc w:val="left"/>
      </w:pPr>
    </w:p>
    <w:p w14:paraId="71F18117" w14:textId="77777777" w:rsidR="001136D0" w:rsidRDefault="001136D0" w:rsidP="000760E5">
      <w:pPr>
        <w:spacing w:before="0" w:line="240" w:lineRule="auto"/>
        <w:jc w:val="left"/>
      </w:pPr>
    </w:p>
    <w:p w14:paraId="5825405D" w14:textId="77777777" w:rsidR="001136D0" w:rsidRDefault="001136D0" w:rsidP="000760E5">
      <w:pPr>
        <w:spacing w:before="0" w:line="240" w:lineRule="auto"/>
        <w:jc w:val="left"/>
      </w:pPr>
    </w:p>
    <w:p w14:paraId="4F489EC3" w14:textId="77777777" w:rsidR="001136D0" w:rsidRDefault="001136D0" w:rsidP="000760E5">
      <w:pPr>
        <w:spacing w:before="0" w:line="240" w:lineRule="auto"/>
        <w:jc w:val="left"/>
      </w:pPr>
    </w:p>
    <w:p w14:paraId="2E71AA7C" w14:textId="77777777" w:rsidR="001136D0" w:rsidRDefault="001136D0" w:rsidP="000760E5">
      <w:pPr>
        <w:spacing w:before="0" w:line="240" w:lineRule="auto"/>
        <w:jc w:val="left"/>
      </w:pPr>
    </w:p>
    <w:p w14:paraId="29D1C9D9" w14:textId="77777777" w:rsidR="001136D0" w:rsidRDefault="001136D0" w:rsidP="000760E5">
      <w:pPr>
        <w:spacing w:before="0" w:line="240" w:lineRule="auto"/>
        <w:jc w:val="left"/>
      </w:pPr>
    </w:p>
    <w:p w14:paraId="79737919" w14:textId="77777777" w:rsidR="009E0B7F" w:rsidRDefault="009E0B7F" w:rsidP="000760E5">
      <w:pPr>
        <w:spacing w:before="0" w:line="240" w:lineRule="auto"/>
        <w:jc w:val="left"/>
      </w:pPr>
    </w:p>
    <w:p w14:paraId="4E19169D" w14:textId="77777777" w:rsidR="009E0B7F" w:rsidRDefault="009E0B7F" w:rsidP="000760E5">
      <w:pPr>
        <w:spacing w:before="0" w:line="240" w:lineRule="auto"/>
        <w:jc w:val="left"/>
      </w:pPr>
    </w:p>
    <w:p w14:paraId="2235FF47" w14:textId="77777777" w:rsidR="009E0B7F" w:rsidRDefault="009E0B7F" w:rsidP="000760E5">
      <w:pPr>
        <w:spacing w:before="0" w:line="240" w:lineRule="auto"/>
        <w:jc w:val="left"/>
      </w:pPr>
    </w:p>
    <w:p w14:paraId="65D04777" w14:textId="77777777" w:rsidR="009E0B7F" w:rsidRDefault="009E0B7F" w:rsidP="000760E5">
      <w:pPr>
        <w:spacing w:before="0" w:line="240" w:lineRule="auto"/>
        <w:jc w:val="left"/>
      </w:pPr>
    </w:p>
    <w:p w14:paraId="36C7B529" w14:textId="77777777" w:rsidR="009E0B7F" w:rsidRDefault="009E0B7F" w:rsidP="000760E5">
      <w:pPr>
        <w:spacing w:before="0" w:line="240" w:lineRule="auto"/>
        <w:jc w:val="left"/>
      </w:pPr>
    </w:p>
    <w:p w14:paraId="40EF5AF2" w14:textId="77777777" w:rsidR="009E0B7F" w:rsidRDefault="009E0B7F" w:rsidP="000760E5">
      <w:pPr>
        <w:spacing w:before="0" w:line="240" w:lineRule="auto"/>
        <w:jc w:val="left"/>
      </w:pPr>
    </w:p>
    <w:p w14:paraId="1EF6A20B" w14:textId="77777777" w:rsidR="009E0B7F" w:rsidRDefault="009E0B7F" w:rsidP="000760E5">
      <w:pPr>
        <w:spacing w:before="0" w:line="240" w:lineRule="auto"/>
        <w:jc w:val="left"/>
      </w:pPr>
    </w:p>
    <w:p w14:paraId="580EC97C" w14:textId="77777777" w:rsidR="009E0B7F" w:rsidRDefault="009E0B7F" w:rsidP="000760E5">
      <w:pPr>
        <w:spacing w:before="0" w:line="240" w:lineRule="auto"/>
        <w:jc w:val="left"/>
      </w:pPr>
    </w:p>
    <w:p w14:paraId="25EB91C2" w14:textId="77777777" w:rsidR="009E0B7F" w:rsidRDefault="009E0B7F" w:rsidP="000760E5">
      <w:pPr>
        <w:spacing w:before="0" w:line="240" w:lineRule="auto"/>
        <w:jc w:val="left"/>
      </w:pPr>
    </w:p>
    <w:p w14:paraId="0EB168E1" w14:textId="77777777" w:rsidR="009E0B7F" w:rsidRDefault="009E0B7F" w:rsidP="000760E5">
      <w:pPr>
        <w:spacing w:before="0" w:line="240" w:lineRule="auto"/>
        <w:jc w:val="left"/>
      </w:pPr>
    </w:p>
    <w:p w14:paraId="7D16F1EC" w14:textId="77777777" w:rsidR="009E0B7F" w:rsidRDefault="009E0B7F" w:rsidP="000760E5">
      <w:pPr>
        <w:spacing w:before="0" w:line="240" w:lineRule="auto"/>
        <w:jc w:val="left"/>
      </w:pPr>
    </w:p>
    <w:p w14:paraId="1C842D56" w14:textId="77777777" w:rsidR="009E0B7F" w:rsidRDefault="009E0B7F" w:rsidP="000760E5">
      <w:pPr>
        <w:spacing w:before="0" w:line="240" w:lineRule="auto"/>
        <w:jc w:val="left"/>
      </w:pPr>
    </w:p>
    <w:p w14:paraId="5002461D" w14:textId="77777777" w:rsidR="009E0B7F" w:rsidRDefault="009E0B7F" w:rsidP="000760E5">
      <w:pPr>
        <w:spacing w:before="0" w:line="240" w:lineRule="auto"/>
        <w:jc w:val="left"/>
      </w:pPr>
    </w:p>
    <w:p w14:paraId="267C8482" w14:textId="77777777" w:rsidR="009E0B7F" w:rsidRDefault="009E0B7F" w:rsidP="000760E5">
      <w:pPr>
        <w:spacing w:before="0" w:line="240" w:lineRule="auto"/>
        <w:jc w:val="left"/>
      </w:pPr>
    </w:p>
    <w:p w14:paraId="5E5FBF80" w14:textId="77777777" w:rsidR="009E0B7F" w:rsidRDefault="009E0B7F" w:rsidP="000760E5">
      <w:pPr>
        <w:spacing w:before="0" w:line="240" w:lineRule="auto"/>
        <w:jc w:val="left"/>
      </w:pPr>
    </w:p>
    <w:p w14:paraId="033C01D7" w14:textId="77777777" w:rsidR="009E0B7F" w:rsidRDefault="009E0B7F" w:rsidP="000760E5">
      <w:pPr>
        <w:spacing w:before="0" w:line="240" w:lineRule="auto"/>
        <w:jc w:val="left"/>
      </w:pPr>
    </w:p>
    <w:p w14:paraId="396182A0" w14:textId="77777777" w:rsidR="009E0B7F" w:rsidRDefault="009E0B7F" w:rsidP="000760E5">
      <w:pPr>
        <w:spacing w:before="0" w:line="240" w:lineRule="auto"/>
        <w:jc w:val="left"/>
      </w:pPr>
    </w:p>
    <w:p w14:paraId="3AC5227F" w14:textId="77777777" w:rsidR="001136D0" w:rsidRDefault="001136D0" w:rsidP="000760E5">
      <w:pPr>
        <w:spacing w:before="0" w:line="240" w:lineRule="auto"/>
        <w:jc w:val="left"/>
      </w:pPr>
    </w:p>
    <w:p w14:paraId="2773354A" w14:textId="77777777" w:rsidR="001136D0" w:rsidRDefault="001136D0" w:rsidP="000760E5">
      <w:pPr>
        <w:spacing w:before="0" w:line="240" w:lineRule="auto"/>
        <w:jc w:val="left"/>
      </w:pPr>
    </w:p>
    <w:p w14:paraId="7D90F35F" w14:textId="77777777" w:rsidR="00202E98" w:rsidRDefault="00202E98" w:rsidP="000760E5">
      <w:pPr>
        <w:spacing w:before="0" w:line="240" w:lineRule="auto"/>
        <w:jc w:val="left"/>
      </w:pPr>
    </w:p>
    <w:p w14:paraId="58FA6CAE" w14:textId="77777777" w:rsidR="001136D0" w:rsidRDefault="001136D0" w:rsidP="000760E5">
      <w:pPr>
        <w:spacing w:before="0" w:line="240" w:lineRule="auto"/>
        <w:jc w:val="left"/>
      </w:pPr>
    </w:p>
    <w:p w14:paraId="70C11E01" w14:textId="77777777" w:rsidR="001136D0" w:rsidRDefault="001136D0" w:rsidP="000760E5">
      <w:pPr>
        <w:spacing w:before="0" w:line="240" w:lineRule="auto"/>
        <w:jc w:val="left"/>
      </w:pPr>
    </w:p>
    <w:p w14:paraId="071E4E01" w14:textId="77777777" w:rsidR="00295F59" w:rsidRDefault="00BE1EF3" w:rsidP="00BE1EF3">
      <w:pPr>
        <w:pStyle w:val="Heading1"/>
      </w:pPr>
      <w:bookmarkStart w:id="7" w:name="_Toc184886553"/>
      <w:r>
        <w:lastRenderedPageBreak/>
        <w:t>References</w:t>
      </w:r>
      <w:bookmarkEnd w:id="7"/>
    </w:p>
    <w:p w14:paraId="07103504" w14:textId="77777777" w:rsidR="004400BA" w:rsidRDefault="004400BA" w:rsidP="004E4AC6"/>
    <w:p w14:paraId="114168C4" w14:textId="0CD24211" w:rsidR="004400BA" w:rsidRDefault="009E0B7F" w:rsidP="004E4AC6">
      <w:hyperlink r:id="rId23" w:history="1">
        <w:r w:rsidRPr="0043293A">
          <w:rPr>
            <w:rStyle w:val="Hyperlink"/>
          </w:rPr>
          <w:t>FNHC</w:t>
        </w:r>
        <w:r w:rsidR="00FE6BD9" w:rsidRPr="0043293A">
          <w:rPr>
            <w:rStyle w:val="Hyperlink"/>
          </w:rPr>
          <w:t xml:space="preserve"> (2021)</w:t>
        </w:r>
        <w:r w:rsidRPr="0043293A">
          <w:rPr>
            <w:rStyle w:val="Hyperlink"/>
          </w:rPr>
          <w:t xml:space="preserve"> Record Keeping Policy</w:t>
        </w:r>
      </w:hyperlink>
    </w:p>
    <w:p w14:paraId="2491CA28" w14:textId="4AF0AD06" w:rsidR="004400BA" w:rsidRDefault="009E0B7F" w:rsidP="004E4AC6">
      <w:hyperlink r:id="rId24" w:history="1">
        <w:r w:rsidRPr="00990EC2">
          <w:rPr>
            <w:rStyle w:val="Hyperlink"/>
          </w:rPr>
          <w:t xml:space="preserve">FNHC </w:t>
        </w:r>
        <w:r w:rsidR="00FE6BD9" w:rsidRPr="00990EC2">
          <w:rPr>
            <w:rStyle w:val="Hyperlink"/>
          </w:rPr>
          <w:t xml:space="preserve">(2023) </w:t>
        </w:r>
        <w:r w:rsidR="006A458F" w:rsidRPr="00990EC2">
          <w:rPr>
            <w:rStyle w:val="Hyperlink"/>
          </w:rPr>
          <w:t>Medicines Policy</w:t>
        </w:r>
      </w:hyperlink>
    </w:p>
    <w:p w14:paraId="45D4C2C9" w14:textId="181CB330" w:rsidR="004400BA" w:rsidRDefault="006A458F" w:rsidP="004E4AC6">
      <w:hyperlink r:id="rId25" w:history="1">
        <w:r w:rsidRPr="00F84492">
          <w:rPr>
            <w:rStyle w:val="Hyperlink"/>
          </w:rPr>
          <w:t>FNHC</w:t>
        </w:r>
        <w:r w:rsidR="008D3652" w:rsidRPr="00F84492">
          <w:rPr>
            <w:rStyle w:val="Hyperlink"/>
          </w:rPr>
          <w:t xml:space="preserve"> (2023)</w:t>
        </w:r>
        <w:r w:rsidRPr="00F84492">
          <w:rPr>
            <w:rStyle w:val="Hyperlink"/>
          </w:rPr>
          <w:t xml:space="preserve"> Waste Management Policy, including procedures for dealing with accidental spillages in relevant settings </w:t>
        </w:r>
      </w:hyperlink>
    </w:p>
    <w:p w14:paraId="01A93F09" w14:textId="35BF3113" w:rsidR="004400BA" w:rsidRDefault="004E4AC6" w:rsidP="004E4AC6">
      <w:hyperlink r:id="rId26" w:history="1">
        <w:r w:rsidRPr="008A6FB3">
          <w:rPr>
            <w:rStyle w:val="Hyperlink"/>
          </w:rPr>
          <w:t>FNHC</w:t>
        </w:r>
        <w:r w:rsidR="005E3837" w:rsidRPr="008A6FB3">
          <w:rPr>
            <w:rStyle w:val="Hyperlink"/>
          </w:rPr>
          <w:t xml:space="preserve"> (2021)</w:t>
        </w:r>
        <w:r w:rsidRPr="008A6FB3">
          <w:rPr>
            <w:rStyle w:val="Hyperlink"/>
          </w:rPr>
          <w:t xml:space="preserve"> Sharps Safety Policy</w:t>
        </w:r>
      </w:hyperlink>
    </w:p>
    <w:p w14:paraId="0AAF01AC" w14:textId="27997437" w:rsidR="005E3837" w:rsidRDefault="005E3837" w:rsidP="004E4AC6">
      <w:hyperlink r:id="rId27" w:history="1">
        <w:r w:rsidRPr="00326AA5">
          <w:rPr>
            <w:rStyle w:val="Hyperlink"/>
          </w:rPr>
          <w:t>FNHC</w:t>
        </w:r>
        <w:r w:rsidR="00F118C2" w:rsidRPr="00326AA5">
          <w:rPr>
            <w:rStyle w:val="Hyperlink"/>
          </w:rPr>
          <w:t xml:space="preserve"> (2023)</w:t>
        </w:r>
        <w:r w:rsidRPr="00326AA5">
          <w:rPr>
            <w:rStyle w:val="Hyperlink"/>
          </w:rPr>
          <w:t xml:space="preserve"> Injectable Medicines Policy</w:t>
        </w:r>
      </w:hyperlink>
    </w:p>
    <w:p w14:paraId="46EA2A23" w14:textId="77777777" w:rsidR="004400BA" w:rsidRDefault="004400BA" w:rsidP="004400BA"/>
    <w:p w14:paraId="57A014DF" w14:textId="54E3EC39" w:rsidR="004400BA" w:rsidRDefault="004400BA" w:rsidP="004400BA">
      <w:r>
        <w:t xml:space="preserve">Royal College of Nursing (2021) </w:t>
      </w:r>
      <w:r w:rsidRPr="001867F6">
        <w:t>Administering Subcutaneous Methotrexate for Inflammatory Arthritis</w:t>
      </w:r>
      <w:r>
        <w:t xml:space="preserve"> – Clinical Professional Resource.  Fourth edition.    Accessible via:  </w:t>
      </w:r>
      <w:hyperlink r:id="rId28" w:history="1">
        <w:r w:rsidRPr="00DF7A9C">
          <w:rPr>
            <w:rStyle w:val="Hyperlink"/>
          </w:rPr>
          <w:t>https://www.rcn.org.uk/professional-development/publications/administering-subcutaneous-methotrexate-for-inflammatory-arthritis-uk-pub-009-675</w:t>
        </w:r>
      </w:hyperlink>
      <w:r>
        <w:t xml:space="preserve"> </w:t>
      </w:r>
    </w:p>
    <w:p w14:paraId="2E0C497E" w14:textId="77777777" w:rsidR="006A458F" w:rsidRDefault="006A458F" w:rsidP="004E4AC6"/>
    <w:p w14:paraId="0E00C470" w14:textId="77777777" w:rsidR="004118DF" w:rsidRDefault="004118DF" w:rsidP="004E4AC6"/>
    <w:p w14:paraId="02F2C34E" w14:textId="3FDB1422" w:rsidR="004118DF" w:rsidRDefault="004118DF" w:rsidP="004118DF">
      <w:pPr>
        <w:jc w:val="left"/>
        <w:sectPr w:rsidR="004118DF" w:rsidSect="00036244">
          <w:pgSz w:w="12240" w:h="15840"/>
          <w:pgMar w:top="1440" w:right="1440" w:bottom="1440" w:left="1440" w:header="709" w:footer="709" w:gutter="0"/>
          <w:cols w:space="708"/>
          <w:docGrid w:linePitch="360"/>
        </w:sectPr>
      </w:pPr>
    </w:p>
    <w:p w14:paraId="415A6A99" w14:textId="1B795A51" w:rsidR="00BE1EF3" w:rsidRDefault="00BE1EF3" w:rsidP="00BE1EF3">
      <w:pPr>
        <w:pStyle w:val="Heading1"/>
      </w:pPr>
      <w:bookmarkStart w:id="8" w:name="_Appendix_1._"/>
      <w:bookmarkStart w:id="9" w:name="_Toc184886554"/>
      <w:bookmarkEnd w:id="8"/>
      <w:r>
        <w:lastRenderedPageBreak/>
        <w:t>Appendi</w:t>
      </w:r>
      <w:r w:rsidR="007B10C6">
        <w:t xml:space="preserve">x 1.  </w:t>
      </w:r>
      <w:r w:rsidR="00E106A7">
        <w:t>Practitioner Competency Checklist - Methotrexate</w:t>
      </w:r>
      <w:bookmarkEnd w:id="9"/>
    </w:p>
    <w:p w14:paraId="62361759" w14:textId="49651DAA" w:rsidR="00036244" w:rsidRDefault="00036244" w:rsidP="00036244">
      <w:pPr>
        <w:rPr>
          <w:i/>
        </w:rPr>
      </w:pPr>
    </w:p>
    <w:tbl>
      <w:tblPr>
        <w:tblStyle w:val="TableGrid"/>
        <w:tblW w:w="0" w:type="auto"/>
        <w:tblLook w:val="04A0" w:firstRow="1" w:lastRow="0" w:firstColumn="1" w:lastColumn="0" w:noHBand="0" w:noVBand="1"/>
      </w:tblPr>
      <w:tblGrid>
        <w:gridCol w:w="2122"/>
        <w:gridCol w:w="7228"/>
      </w:tblGrid>
      <w:tr w:rsidR="00AA342E" w14:paraId="5693FB89" w14:textId="77777777" w:rsidTr="00A4233A">
        <w:tc>
          <w:tcPr>
            <w:tcW w:w="2122" w:type="dxa"/>
          </w:tcPr>
          <w:p w14:paraId="69B359A4" w14:textId="321E77DF" w:rsidR="00AA342E" w:rsidRPr="00BB358D" w:rsidRDefault="00AA342E" w:rsidP="00BB358D">
            <w:pPr>
              <w:spacing w:before="0"/>
              <w:rPr>
                <w:iCs/>
                <w:sz w:val="20"/>
                <w:szCs w:val="22"/>
              </w:rPr>
            </w:pPr>
            <w:r w:rsidRPr="00BB358D">
              <w:rPr>
                <w:iCs/>
                <w:sz w:val="20"/>
                <w:szCs w:val="22"/>
              </w:rPr>
              <w:t xml:space="preserve">Name of </w:t>
            </w:r>
            <w:r w:rsidR="00BB358D" w:rsidRPr="00BB358D">
              <w:rPr>
                <w:iCs/>
                <w:sz w:val="20"/>
                <w:szCs w:val="22"/>
              </w:rPr>
              <w:t>Practitioner</w:t>
            </w:r>
          </w:p>
        </w:tc>
        <w:tc>
          <w:tcPr>
            <w:tcW w:w="7228" w:type="dxa"/>
          </w:tcPr>
          <w:p w14:paraId="2082D78D" w14:textId="77777777" w:rsidR="00AA342E" w:rsidRPr="0084374D" w:rsidRDefault="00AA342E" w:rsidP="00BB358D">
            <w:pPr>
              <w:spacing w:before="0"/>
              <w:rPr>
                <w:iCs/>
              </w:rPr>
            </w:pPr>
          </w:p>
        </w:tc>
      </w:tr>
      <w:tr w:rsidR="00AA342E" w14:paraId="17F74223" w14:textId="77777777" w:rsidTr="00A4233A">
        <w:tc>
          <w:tcPr>
            <w:tcW w:w="2122" w:type="dxa"/>
          </w:tcPr>
          <w:p w14:paraId="0625A345" w14:textId="15F3C188" w:rsidR="00AA342E" w:rsidRPr="00BB358D" w:rsidRDefault="00BB358D" w:rsidP="00BB358D">
            <w:pPr>
              <w:spacing w:before="0"/>
              <w:rPr>
                <w:iCs/>
                <w:sz w:val="20"/>
                <w:szCs w:val="22"/>
              </w:rPr>
            </w:pPr>
            <w:r w:rsidRPr="00BB358D">
              <w:rPr>
                <w:iCs/>
                <w:sz w:val="20"/>
                <w:szCs w:val="22"/>
              </w:rPr>
              <w:t>Name of Supervisor</w:t>
            </w:r>
          </w:p>
        </w:tc>
        <w:tc>
          <w:tcPr>
            <w:tcW w:w="7228" w:type="dxa"/>
          </w:tcPr>
          <w:p w14:paraId="6CF54224" w14:textId="77777777" w:rsidR="00AA342E" w:rsidRPr="0084374D" w:rsidRDefault="00AA342E" w:rsidP="00BB358D">
            <w:pPr>
              <w:spacing w:before="0"/>
              <w:rPr>
                <w:iCs/>
              </w:rPr>
            </w:pPr>
          </w:p>
        </w:tc>
      </w:tr>
    </w:tbl>
    <w:p w14:paraId="5F0B9F6D" w14:textId="77777777" w:rsidR="00AE3CC2" w:rsidRPr="00BB358D" w:rsidRDefault="00AE3CC2" w:rsidP="00036244">
      <w:pPr>
        <w:rPr>
          <w:iCs/>
        </w:rPr>
      </w:pPr>
    </w:p>
    <w:tbl>
      <w:tblPr>
        <w:tblStyle w:val="TableGrid"/>
        <w:tblW w:w="0" w:type="auto"/>
        <w:tblLook w:val="04A0" w:firstRow="1" w:lastRow="0" w:firstColumn="1" w:lastColumn="0" w:noHBand="0" w:noVBand="1"/>
      </w:tblPr>
      <w:tblGrid>
        <w:gridCol w:w="5308"/>
        <w:gridCol w:w="1350"/>
        <w:gridCol w:w="1284"/>
        <w:gridCol w:w="1408"/>
      </w:tblGrid>
      <w:tr w:rsidR="003B07F0" w:rsidRPr="009203D7" w14:paraId="111C7A2D" w14:textId="77777777" w:rsidTr="485CA11F">
        <w:trPr>
          <w:trHeight w:val="288"/>
          <w:tblHeader/>
        </w:trPr>
        <w:tc>
          <w:tcPr>
            <w:tcW w:w="5309" w:type="dxa"/>
            <w:shd w:val="clear" w:color="auto" w:fill="DEEAF6" w:themeFill="accent1" w:themeFillTint="33"/>
            <w:noWrap/>
            <w:vAlign w:val="center"/>
            <w:hideMark/>
          </w:tcPr>
          <w:p w14:paraId="3A543A18" w14:textId="77777777" w:rsidR="009203D7" w:rsidRPr="009203D7" w:rsidRDefault="009203D7" w:rsidP="003B07F0">
            <w:pPr>
              <w:spacing w:before="0"/>
              <w:jc w:val="left"/>
              <w:rPr>
                <w:rFonts w:cs="Arial"/>
                <w:sz w:val="20"/>
                <w:szCs w:val="20"/>
              </w:rPr>
            </w:pPr>
            <w:r w:rsidRPr="009203D7">
              <w:rPr>
                <w:rFonts w:cs="Arial"/>
                <w:sz w:val="20"/>
                <w:szCs w:val="20"/>
              </w:rPr>
              <w:t>Element of competence to be achieved</w:t>
            </w:r>
          </w:p>
        </w:tc>
        <w:tc>
          <w:tcPr>
            <w:tcW w:w="1349" w:type="dxa"/>
            <w:shd w:val="clear" w:color="auto" w:fill="DEEAF6" w:themeFill="accent1" w:themeFillTint="33"/>
            <w:noWrap/>
            <w:vAlign w:val="center"/>
            <w:hideMark/>
          </w:tcPr>
          <w:p w14:paraId="4C457E90" w14:textId="77777777" w:rsidR="009203D7" w:rsidRPr="009203D7" w:rsidRDefault="32031E2B" w:rsidP="003B07F0">
            <w:pPr>
              <w:spacing w:before="0"/>
              <w:jc w:val="left"/>
              <w:rPr>
                <w:rFonts w:cs="Arial"/>
                <w:sz w:val="20"/>
                <w:szCs w:val="20"/>
              </w:rPr>
            </w:pPr>
            <w:r w:rsidRPr="485CA11F">
              <w:rPr>
                <w:rFonts w:cs="Arial"/>
                <w:sz w:val="20"/>
                <w:szCs w:val="20"/>
              </w:rPr>
              <w:t>Date of</w:t>
            </w:r>
            <w:r w:rsidR="009203D7">
              <w:br/>
            </w:r>
            <w:r w:rsidRPr="485CA11F">
              <w:rPr>
                <w:rFonts w:cs="Arial"/>
                <w:sz w:val="20"/>
                <w:szCs w:val="20"/>
              </w:rPr>
              <w:t>achievement</w:t>
            </w:r>
          </w:p>
        </w:tc>
        <w:tc>
          <w:tcPr>
            <w:tcW w:w="1284" w:type="dxa"/>
            <w:shd w:val="clear" w:color="auto" w:fill="DEEAF6" w:themeFill="accent1" w:themeFillTint="33"/>
            <w:noWrap/>
            <w:vAlign w:val="center"/>
            <w:hideMark/>
          </w:tcPr>
          <w:p w14:paraId="21153DF8" w14:textId="77777777" w:rsidR="009203D7" w:rsidRPr="009203D7" w:rsidRDefault="009203D7" w:rsidP="003B07F0">
            <w:pPr>
              <w:spacing w:before="0"/>
              <w:jc w:val="left"/>
              <w:rPr>
                <w:rFonts w:cs="Arial"/>
                <w:sz w:val="20"/>
                <w:szCs w:val="20"/>
              </w:rPr>
            </w:pPr>
            <w:r w:rsidRPr="009203D7">
              <w:rPr>
                <w:rFonts w:cs="Arial"/>
                <w:sz w:val="20"/>
                <w:szCs w:val="20"/>
              </w:rPr>
              <w:t>Practitioner</w:t>
            </w:r>
            <w:r w:rsidRPr="009203D7">
              <w:rPr>
                <w:rFonts w:cs="Arial"/>
                <w:sz w:val="20"/>
                <w:szCs w:val="20"/>
              </w:rPr>
              <w:br/>
              <w:t>signature</w:t>
            </w:r>
          </w:p>
        </w:tc>
        <w:tc>
          <w:tcPr>
            <w:tcW w:w="1408" w:type="dxa"/>
            <w:shd w:val="clear" w:color="auto" w:fill="DEEAF6" w:themeFill="accent1" w:themeFillTint="33"/>
            <w:noWrap/>
            <w:vAlign w:val="center"/>
            <w:hideMark/>
          </w:tcPr>
          <w:p w14:paraId="46F71CE6" w14:textId="77777777" w:rsidR="009203D7" w:rsidRPr="009203D7" w:rsidRDefault="009203D7" w:rsidP="003B07F0">
            <w:pPr>
              <w:spacing w:before="0"/>
              <w:jc w:val="left"/>
              <w:rPr>
                <w:rFonts w:cs="Arial"/>
                <w:sz w:val="20"/>
                <w:szCs w:val="20"/>
              </w:rPr>
            </w:pPr>
            <w:r w:rsidRPr="009203D7">
              <w:rPr>
                <w:rFonts w:cs="Arial"/>
                <w:sz w:val="20"/>
                <w:szCs w:val="20"/>
              </w:rPr>
              <w:t>Supervisor</w:t>
            </w:r>
            <w:r w:rsidRPr="009203D7">
              <w:rPr>
                <w:rFonts w:cs="Arial"/>
                <w:sz w:val="20"/>
                <w:szCs w:val="20"/>
              </w:rPr>
              <w:br/>
              <w:t>signature</w:t>
            </w:r>
          </w:p>
        </w:tc>
      </w:tr>
      <w:tr w:rsidR="00D81A60" w:rsidRPr="009203D7" w14:paraId="574AFA88" w14:textId="77777777" w:rsidTr="485CA11F">
        <w:trPr>
          <w:trHeight w:val="288"/>
        </w:trPr>
        <w:tc>
          <w:tcPr>
            <w:tcW w:w="5309" w:type="dxa"/>
            <w:noWrap/>
            <w:hideMark/>
          </w:tcPr>
          <w:p w14:paraId="0C87C2ED" w14:textId="1F483B25" w:rsidR="009203D7" w:rsidRPr="009203D7" w:rsidRDefault="009203D7" w:rsidP="009203D7">
            <w:pPr>
              <w:spacing w:before="0"/>
              <w:rPr>
                <w:rFonts w:cs="Arial"/>
                <w:sz w:val="20"/>
                <w:szCs w:val="20"/>
              </w:rPr>
            </w:pPr>
            <w:r w:rsidRPr="009203D7">
              <w:rPr>
                <w:rFonts w:cs="Arial"/>
                <w:sz w:val="20"/>
                <w:szCs w:val="20"/>
              </w:rPr>
              <w:t>Discuss the rationale for the use of subcutaneous methotrexate</w:t>
            </w:r>
            <w:r w:rsidR="0066100D">
              <w:rPr>
                <w:rFonts w:cs="Arial"/>
                <w:sz w:val="20"/>
                <w:szCs w:val="20"/>
              </w:rPr>
              <w:t xml:space="preserve"> </w:t>
            </w:r>
            <w:r w:rsidRPr="009203D7">
              <w:rPr>
                <w:rFonts w:cs="Arial"/>
                <w:sz w:val="20"/>
                <w:szCs w:val="20"/>
              </w:rPr>
              <w:t>in</w:t>
            </w:r>
            <w:r w:rsidR="0066100D">
              <w:rPr>
                <w:rFonts w:cs="Arial"/>
                <w:sz w:val="20"/>
                <w:szCs w:val="20"/>
              </w:rPr>
              <w:t xml:space="preserve"> </w:t>
            </w:r>
            <w:r w:rsidRPr="009203D7">
              <w:rPr>
                <w:rFonts w:cs="Arial"/>
                <w:sz w:val="20"/>
                <w:szCs w:val="20"/>
              </w:rPr>
              <w:t>rheumatic conditions.</w:t>
            </w:r>
          </w:p>
        </w:tc>
        <w:tc>
          <w:tcPr>
            <w:tcW w:w="1349" w:type="dxa"/>
            <w:noWrap/>
            <w:hideMark/>
          </w:tcPr>
          <w:p w14:paraId="4F4DC8E0" w14:textId="77777777" w:rsidR="009203D7" w:rsidRPr="009203D7" w:rsidRDefault="009203D7" w:rsidP="009203D7">
            <w:pPr>
              <w:spacing w:before="0"/>
              <w:rPr>
                <w:rFonts w:cs="Arial"/>
                <w:sz w:val="20"/>
                <w:szCs w:val="20"/>
              </w:rPr>
            </w:pPr>
          </w:p>
        </w:tc>
        <w:tc>
          <w:tcPr>
            <w:tcW w:w="1284" w:type="dxa"/>
            <w:noWrap/>
            <w:hideMark/>
          </w:tcPr>
          <w:p w14:paraId="76201DDA" w14:textId="77777777" w:rsidR="009203D7" w:rsidRPr="009203D7" w:rsidRDefault="009203D7" w:rsidP="009203D7">
            <w:pPr>
              <w:spacing w:before="0"/>
              <w:rPr>
                <w:rFonts w:cs="Arial"/>
                <w:sz w:val="20"/>
                <w:szCs w:val="20"/>
              </w:rPr>
            </w:pPr>
          </w:p>
        </w:tc>
        <w:tc>
          <w:tcPr>
            <w:tcW w:w="1408" w:type="dxa"/>
            <w:noWrap/>
            <w:hideMark/>
          </w:tcPr>
          <w:p w14:paraId="4926244A" w14:textId="77777777" w:rsidR="009203D7" w:rsidRPr="009203D7" w:rsidRDefault="009203D7" w:rsidP="009203D7">
            <w:pPr>
              <w:spacing w:before="0"/>
              <w:rPr>
                <w:rFonts w:cs="Arial"/>
                <w:sz w:val="20"/>
                <w:szCs w:val="20"/>
              </w:rPr>
            </w:pPr>
          </w:p>
        </w:tc>
      </w:tr>
      <w:tr w:rsidR="00D81A60" w:rsidRPr="009203D7" w14:paraId="6BF80EE3" w14:textId="77777777" w:rsidTr="485CA11F">
        <w:trPr>
          <w:trHeight w:val="288"/>
        </w:trPr>
        <w:tc>
          <w:tcPr>
            <w:tcW w:w="5309" w:type="dxa"/>
            <w:noWrap/>
            <w:hideMark/>
          </w:tcPr>
          <w:p w14:paraId="727A1077" w14:textId="7E29DCF4" w:rsidR="009203D7" w:rsidRPr="00A272D3" w:rsidRDefault="009203D7" w:rsidP="00BE69E7">
            <w:pPr>
              <w:spacing w:before="0"/>
              <w:jc w:val="left"/>
              <w:rPr>
                <w:rFonts w:cs="Arial"/>
                <w:sz w:val="20"/>
                <w:szCs w:val="20"/>
              </w:rPr>
            </w:pPr>
            <w:r w:rsidRPr="00A272D3">
              <w:rPr>
                <w:rFonts w:cs="Arial"/>
                <w:sz w:val="20"/>
                <w:szCs w:val="20"/>
              </w:rPr>
              <w:t>Discuss potential issues related to treatment including:</w:t>
            </w:r>
            <w:r w:rsidRPr="00A272D3">
              <w:rPr>
                <w:rFonts w:cs="Arial"/>
                <w:sz w:val="20"/>
                <w:szCs w:val="20"/>
              </w:rPr>
              <w:br/>
            </w:r>
            <w:r w:rsidR="00BE69E7" w:rsidRPr="00A272D3">
              <w:rPr>
                <w:rFonts w:cs="Arial"/>
                <w:sz w:val="20"/>
                <w:szCs w:val="20"/>
              </w:rPr>
              <w:t xml:space="preserve">• </w:t>
            </w:r>
            <w:r w:rsidRPr="00A272D3">
              <w:rPr>
                <w:rFonts w:cs="Arial"/>
                <w:sz w:val="20"/>
                <w:szCs w:val="20"/>
              </w:rPr>
              <w:t>screening</w:t>
            </w:r>
            <w:r w:rsidR="00D81A60">
              <w:rPr>
                <w:rFonts w:cs="Arial"/>
                <w:sz w:val="20"/>
                <w:szCs w:val="20"/>
              </w:rPr>
              <w:t xml:space="preserve"> </w:t>
            </w:r>
            <w:r w:rsidRPr="00A272D3">
              <w:rPr>
                <w:rFonts w:cs="Arial"/>
                <w:sz w:val="20"/>
                <w:szCs w:val="20"/>
              </w:rPr>
              <w:t>of</w:t>
            </w:r>
            <w:r w:rsidR="00BE69E7">
              <w:rPr>
                <w:rFonts w:cs="Arial"/>
                <w:sz w:val="20"/>
                <w:szCs w:val="20"/>
              </w:rPr>
              <w:t xml:space="preserve"> </w:t>
            </w:r>
            <w:r w:rsidRPr="00A272D3">
              <w:rPr>
                <w:rFonts w:cs="Arial"/>
                <w:sz w:val="20"/>
                <w:szCs w:val="20"/>
              </w:rPr>
              <w:t>patients</w:t>
            </w:r>
            <w:r w:rsidRPr="00A272D3">
              <w:rPr>
                <w:rFonts w:cs="Arial"/>
                <w:sz w:val="20"/>
                <w:szCs w:val="20"/>
              </w:rPr>
              <w:br/>
              <w:t>• possible side-effects or adverse events</w:t>
            </w:r>
            <w:r w:rsidRPr="00A272D3">
              <w:rPr>
                <w:rFonts w:cs="Arial"/>
                <w:sz w:val="20"/>
                <w:szCs w:val="20"/>
              </w:rPr>
              <w:br/>
              <w:t>• drug interactions</w:t>
            </w:r>
            <w:r w:rsidRPr="00A272D3">
              <w:rPr>
                <w:rFonts w:cs="Arial"/>
                <w:sz w:val="20"/>
                <w:szCs w:val="20"/>
              </w:rPr>
              <w:br/>
              <w:t>• contraindications to methotrexate therapy.</w:t>
            </w:r>
          </w:p>
        </w:tc>
        <w:tc>
          <w:tcPr>
            <w:tcW w:w="1349" w:type="dxa"/>
            <w:noWrap/>
            <w:hideMark/>
          </w:tcPr>
          <w:p w14:paraId="4FD695FF" w14:textId="77777777" w:rsidR="009203D7" w:rsidRPr="009203D7" w:rsidRDefault="009203D7" w:rsidP="009203D7">
            <w:pPr>
              <w:spacing w:before="0"/>
              <w:rPr>
                <w:rFonts w:cs="Arial"/>
                <w:sz w:val="20"/>
                <w:szCs w:val="20"/>
              </w:rPr>
            </w:pPr>
          </w:p>
        </w:tc>
        <w:tc>
          <w:tcPr>
            <w:tcW w:w="1284" w:type="dxa"/>
            <w:noWrap/>
            <w:hideMark/>
          </w:tcPr>
          <w:p w14:paraId="76453FB6" w14:textId="77777777" w:rsidR="009203D7" w:rsidRPr="009203D7" w:rsidRDefault="009203D7" w:rsidP="009203D7">
            <w:pPr>
              <w:spacing w:before="0"/>
              <w:rPr>
                <w:rFonts w:cs="Arial"/>
                <w:sz w:val="20"/>
                <w:szCs w:val="20"/>
              </w:rPr>
            </w:pPr>
          </w:p>
        </w:tc>
        <w:tc>
          <w:tcPr>
            <w:tcW w:w="1408" w:type="dxa"/>
            <w:noWrap/>
            <w:hideMark/>
          </w:tcPr>
          <w:p w14:paraId="59AA0E6B" w14:textId="77777777" w:rsidR="009203D7" w:rsidRPr="009203D7" w:rsidRDefault="009203D7" w:rsidP="009203D7">
            <w:pPr>
              <w:spacing w:before="0"/>
              <w:rPr>
                <w:rFonts w:cs="Arial"/>
                <w:sz w:val="20"/>
                <w:szCs w:val="20"/>
              </w:rPr>
            </w:pPr>
          </w:p>
        </w:tc>
      </w:tr>
      <w:tr w:rsidR="00D81A60" w:rsidRPr="009203D7" w14:paraId="6B1CDA35" w14:textId="77777777" w:rsidTr="485CA11F">
        <w:trPr>
          <w:trHeight w:val="288"/>
        </w:trPr>
        <w:tc>
          <w:tcPr>
            <w:tcW w:w="5309" w:type="dxa"/>
            <w:noWrap/>
            <w:hideMark/>
          </w:tcPr>
          <w:p w14:paraId="26600983" w14:textId="6EDB9E9D" w:rsidR="009203D7" w:rsidRPr="009203D7" w:rsidRDefault="009203D7" w:rsidP="009203D7">
            <w:pPr>
              <w:spacing w:before="0"/>
              <w:rPr>
                <w:rFonts w:cs="Arial"/>
                <w:sz w:val="20"/>
                <w:szCs w:val="20"/>
              </w:rPr>
            </w:pPr>
            <w:r w:rsidRPr="009203D7">
              <w:rPr>
                <w:rFonts w:cs="Arial"/>
                <w:sz w:val="20"/>
                <w:szCs w:val="20"/>
              </w:rPr>
              <w:t>Discuss the circumstances when subcutaneous methotrexate</w:t>
            </w:r>
            <w:r w:rsidR="00BE69E7">
              <w:rPr>
                <w:rFonts w:cs="Arial"/>
                <w:sz w:val="20"/>
                <w:szCs w:val="20"/>
              </w:rPr>
              <w:t xml:space="preserve"> </w:t>
            </w:r>
            <w:r w:rsidRPr="009203D7">
              <w:rPr>
                <w:rFonts w:cs="Arial"/>
                <w:sz w:val="20"/>
                <w:szCs w:val="20"/>
              </w:rPr>
              <w:t>should not be administered.</w:t>
            </w:r>
          </w:p>
        </w:tc>
        <w:tc>
          <w:tcPr>
            <w:tcW w:w="1349" w:type="dxa"/>
            <w:noWrap/>
            <w:hideMark/>
          </w:tcPr>
          <w:p w14:paraId="4D59A18F" w14:textId="77777777" w:rsidR="009203D7" w:rsidRPr="009203D7" w:rsidRDefault="009203D7" w:rsidP="009203D7">
            <w:pPr>
              <w:spacing w:before="0"/>
              <w:rPr>
                <w:rFonts w:cs="Arial"/>
                <w:sz w:val="20"/>
                <w:szCs w:val="20"/>
              </w:rPr>
            </w:pPr>
          </w:p>
        </w:tc>
        <w:tc>
          <w:tcPr>
            <w:tcW w:w="1284" w:type="dxa"/>
            <w:noWrap/>
            <w:hideMark/>
          </w:tcPr>
          <w:p w14:paraId="0297C2EB" w14:textId="77777777" w:rsidR="009203D7" w:rsidRPr="009203D7" w:rsidRDefault="009203D7" w:rsidP="009203D7">
            <w:pPr>
              <w:spacing w:before="0"/>
              <w:rPr>
                <w:rFonts w:cs="Arial"/>
                <w:sz w:val="20"/>
                <w:szCs w:val="20"/>
              </w:rPr>
            </w:pPr>
          </w:p>
        </w:tc>
        <w:tc>
          <w:tcPr>
            <w:tcW w:w="1408" w:type="dxa"/>
            <w:noWrap/>
            <w:hideMark/>
          </w:tcPr>
          <w:p w14:paraId="131D6E4A" w14:textId="77777777" w:rsidR="009203D7" w:rsidRPr="009203D7" w:rsidRDefault="009203D7" w:rsidP="009203D7">
            <w:pPr>
              <w:spacing w:before="0"/>
              <w:rPr>
                <w:rFonts w:cs="Arial"/>
                <w:sz w:val="20"/>
                <w:szCs w:val="20"/>
              </w:rPr>
            </w:pPr>
          </w:p>
        </w:tc>
      </w:tr>
      <w:tr w:rsidR="00D81A60" w:rsidRPr="009203D7" w14:paraId="4A10ABA9" w14:textId="77777777" w:rsidTr="485CA11F">
        <w:trPr>
          <w:trHeight w:val="288"/>
        </w:trPr>
        <w:tc>
          <w:tcPr>
            <w:tcW w:w="5309" w:type="dxa"/>
            <w:noWrap/>
            <w:hideMark/>
          </w:tcPr>
          <w:p w14:paraId="4CEC257B" w14:textId="181DDFA9" w:rsidR="009203D7" w:rsidRPr="009203D7" w:rsidRDefault="009203D7" w:rsidP="00BE69E7">
            <w:pPr>
              <w:spacing w:before="0"/>
              <w:jc w:val="left"/>
              <w:rPr>
                <w:rFonts w:cs="Arial"/>
                <w:sz w:val="20"/>
                <w:szCs w:val="20"/>
              </w:rPr>
            </w:pPr>
            <w:r w:rsidRPr="009203D7">
              <w:rPr>
                <w:rFonts w:cs="Arial"/>
                <w:sz w:val="20"/>
                <w:szCs w:val="20"/>
              </w:rPr>
              <w:t>Describe interventions required to alleviate methotrexate induced</w:t>
            </w:r>
            <w:r w:rsidR="00BE69E7">
              <w:rPr>
                <w:rFonts w:cs="Arial"/>
                <w:sz w:val="20"/>
                <w:szCs w:val="20"/>
              </w:rPr>
              <w:t xml:space="preserve"> </w:t>
            </w:r>
            <w:r w:rsidRPr="009203D7">
              <w:rPr>
                <w:rFonts w:cs="Arial"/>
                <w:sz w:val="20"/>
                <w:szCs w:val="20"/>
              </w:rPr>
              <w:t>side-effects.</w:t>
            </w:r>
          </w:p>
        </w:tc>
        <w:tc>
          <w:tcPr>
            <w:tcW w:w="1349" w:type="dxa"/>
            <w:noWrap/>
            <w:hideMark/>
          </w:tcPr>
          <w:p w14:paraId="1A66ADD6" w14:textId="77777777" w:rsidR="009203D7" w:rsidRPr="009203D7" w:rsidRDefault="009203D7" w:rsidP="009203D7">
            <w:pPr>
              <w:spacing w:before="0"/>
              <w:rPr>
                <w:rFonts w:cs="Arial"/>
                <w:sz w:val="20"/>
                <w:szCs w:val="20"/>
              </w:rPr>
            </w:pPr>
          </w:p>
        </w:tc>
        <w:tc>
          <w:tcPr>
            <w:tcW w:w="1284" w:type="dxa"/>
            <w:noWrap/>
            <w:hideMark/>
          </w:tcPr>
          <w:p w14:paraId="7027AF86" w14:textId="77777777" w:rsidR="009203D7" w:rsidRPr="009203D7" w:rsidRDefault="009203D7" w:rsidP="009203D7">
            <w:pPr>
              <w:spacing w:before="0"/>
              <w:rPr>
                <w:rFonts w:cs="Arial"/>
                <w:sz w:val="20"/>
                <w:szCs w:val="20"/>
              </w:rPr>
            </w:pPr>
          </w:p>
        </w:tc>
        <w:tc>
          <w:tcPr>
            <w:tcW w:w="1408" w:type="dxa"/>
            <w:noWrap/>
            <w:hideMark/>
          </w:tcPr>
          <w:p w14:paraId="3D859E24" w14:textId="77777777" w:rsidR="009203D7" w:rsidRPr="009203D7" w:rsidRDefault="009203D7" w:rsidP="009203D7">
            <w:pPr>
              <w:spacing w:before="0"/>
              <w:rPr>
                <w:rFonts w:cs="Arial"/>
                <w:sz w:val="20"/>
                <w:szCs w:val="20"/>
              </w:rPr>
            </w:pPr>
          </w:p>
        </w:tc>
      </w:tr>
      <w:tr w:rsidR="00D81A60" w:rsidRPr="009203D7" w14:paraId="4CD52608" w14:textId="77777777" w:rsidTr="485CA11F">
        <w:trPr>
          <w:trHeight w:val="288"/>
        </w:trPr>
        <w:tc>
          <w:tcPr>
            <w:tcW w:w="5309" w:type="dxa"/>
            <w:noWrap/>
            <w:hideMark/>
          </w:tcPr>
          <w:p w14:paraId="7C965166" w14:textId="4CA5D82A" w:rsidR="009203D7" w:rsidRPr="009203D7" w:rsidRDefault="009203D7" w:rsidP="00BE69E7">
            <w:pPr>
              <w:spacing w:before="0"/>
              <w:jc w:val="left"/>
              <w:rPr>
                <w:rFonts w:cs="Arial"/>
                <w:sz w:val="20"/>
                <w:szCs w:val="20"/>
              </w:rPr>
            </w:pPr>
            <w:r w:rsidRPr="009203D7">
              <w:rPr>
                <w:rFonts w:cs="Arial"/>
                <w:sz w:val="20"/>
                <w:szCs w:val="20"/>
              </w:rPr>
              <w:t>Discuss the process for assessing the patient’s suitability for</w:t>
            </w:r>
            <w:r w:rsidR="00BE69E7">
              <w:rPr>
                <w:rFonts w:cs="Arial"/>
                <w:sz w:val="20"/>
                <w:szCs w:val="20"/>
              </w:rPr>
              <w:t xml:space="preserve"> </w:t>
            </w:r>
            <w:r w:rsidRPr="009203D7">
              <w:rPr>
                <w:rFonts w:cs="Arial"/>
                <w:sz w:val="20"/>
                <w:szCs w:val="20"/>
              </w:rPr>
              <w:t>methotrexate therapy. For example, medical history, concomitant</w:t>
            </w:r>
            <w:r w:rsidR="00BE69E7">
              <w:rPr>
                <w:rFonts w:cs="Arial"/>
                <w:sz w:val="20"/>
                <w:szCs w:val="20"/>
              </w:rPr>
              <w:t xml:space="preserve"> </w:t>
            </w:r>
            <w:r w:rsidRPr="009203D7">
              <w:rPr>
                <w:rFonts w:cs="Arial"/>
                <w:sz w:val="20"/>
                <w:szCs w:val="20"/>
              </w:rPr>
              <w:t>medications,</w:t>
            </w:r>
            <w:r w:rsidR="0007409F">
              <w:rPr>
                <w:rFonts w:cs="Arial"/>
                <w:sz w:val="20"/>
                <w:szCs w:val="20"/>
              </w:rPr>
              <w:t xml:space="preserve"> </w:t>
            </w:r>
            <w:r w:rsidRPr="009203D7">
              <w:rPr>
                <w:rFonts w:cs="Arial"/>
                <w:sz w:val="20"/>
                <w:szCs w:val="20"/>
              </w:rPr>
              <w:t>allergies, level of disease activity, dexterity and</w:t>
            </w:r>
            <w:r w:rsidRPr="009203D7">
              <w:rPr>
                <w:rFonts w:cs="Arial"/>
                <w:sz w:val="20"/>
                <w:szCs w:val="20"/>
              </w:rPr>
              <w:br/>
              <w:t>attitude to treatment.</w:t>
            </w:r>
          </w:p>
        </w:tc>
        <w:tc>
          <w:tcPr>
            <w:tcW w:w="1349" w:type="dxa"/>
            <w:noWrap/>
            <w:hideMark/>
          </w:tcPr>
          <w:p w14:paraId="2DBDC28C" w14:textId="77777777" w:rsidR="009203D7" w:rsidRPr="009203D7" w:rsidRDefault="009203D7" w:rsidP="009203D7">
            <w:pPr>
              <w:spacing w:before="0"/>
              <w:rPr>
                <w:rFonts w:cs="Arial"/>
                <w:sz w:val="20"/>
                <w:szCs w:val="20"/>
              </w:rPr>
            </w:pPr>
          </w:p>
        </w:tc>
        <w:tc>
          <w:tcPr>
            <w:tcW w:w="1284" w:type="dxa"/>
            <w:noWrap/>
            <w:hideMark/>
          </w:tcPr>
          <w:p w14:paraId="63DD3E83" w14:textId="77777777" w:rsidR="009203D7" w:rsidRPr="009203D7" w:rsidRDefault="009203D7" w:rsidP="009203D7">
            <w:pPr>
              <w:spacing w:before="0"/>
              <w:rPr>
                <w:rFonts w:cs="Arial"/>
                <w:sz w:val="20"/>
                <w:szCs w:val="20"/>
              </w:rPr>
            </w:pPr>
          </w:p>
        </w:tc>
        <w:tc>
          <w:tcPr>
            <w:tcW w:w="1408" w:type="dxa"/>
            <w:noWrap/>
            <w:hideMark/>
          </w:tcPr>
          <w:p w14:paraId="39B416A2" w14:textId="77777777" w:rsidR="009203D7" w:rsidRPr="009203D7" w:rsidRDefault="009203D7" w:rsidP="009203D7">
            <w:pPr>
              <w:spacing w:before="0"/>
              <w:rPr>
                <w:rFonts w:cs="Arial"/>
                <w:sz w:val="20"/>
                <w:szCs w:val="20"/>
              </w:rPr>
            </w:pPr>
          </w:p>
        </w:tc>
      </w:tr>
      <w:tr w:rsidR="00D81A60" w:rsidRPr="009203D7" w14:paraId="05A6F7B4" w14:textId="77777777" w:rsidTr="485CA11F">
        <w:trPr>
          <w:trHeight w:val="288"/>
        </w:trPr>
        <w:tc>
          <w:tcPr>
            <w:tcW w:w="5309" w:type="dxa"/>
            <w:noWrap/>
            <w:hideMark/>
          </w:tcPr>
          <w:p w14:paraId="2820F14D" w14:textId="4709FE5C" w:rsidR="009203D7" w:rsidRPr="009203D7" w:rsidRDefault="009203D7" w:rsidP="0007409F">
            <w:pPr>
              <w:spacing w:before="0"/>
              <w:jc w:val="left"/>
              <w:rPr>
                <w:rFonts w:cs="Arial"/>
                <w:sz w:val="20"/>
                <w:szCs w:val="20"/>
              </w:rPr>
            </w:pPr>
            <w:r w:rsidRPr="009203D7">
              <w:rPr>
                <w:rFonts w:cs="Arial"/>
                <w:sz w:val="20"/>
                <w:szCs w:val="20"/>
              </w:rPr>
              <w:t>Demonstrate the ability to check the validity of the current</w:t>
            </w:r>
            <w:r w:rsidR="0007409F">
              <w:rPr>
                <w:rFonts w:cs="Arial"/>
                <w:sz w:val="20"/>
                <w:szCs w:val="20"/>
              </w:rPr>
              <w:t xml:space="preserve"> </w:t>
            </w:r>
            <w:r w:rsidRPr="009203D7">
              <w:rPr>
                <w:rFonts w:cs="Arial"/>
                <w:sz w:val="20"/>
                <w:szCs w:val="20"/>
              </w:rPr>
              <w:t>prescription. This includes expiry date, dose, route by which the drug</w:t>
            </w:r>
            <w:r w:rsidR="0007409F">
              <w:rPr>
                <w:rFonts w:cs="Arial"/>
                <w:sz w:val="20"/>
                <w:szCs w:val="20"/>
              </w:rPr>
              <w:t xml:space="preserve"> </w:t>
            </w:r>
            <w:r w:rsidRPr="009203D7">
              <w:rPr>
                <w:rFonts w:cs="Arial"/>
                <w:sz w:val="20"/>
                <w:szCs w:val="20"/>
              </w:rPr>
              <w:t>is to be</w:t>
            </w:r>
            <w:r w:rsidR="0007409F">
              <w:rPr>
                <w:rFonts w:cs="Arial"/>
                <w:sz w:val="20"/>
                <w:szCs w:val="20"/>
              </w:rPr>
              <w:t xml:space="preserve"> </w:t>
            </w:r>
            <w:r w:rsidRPr="009203D7">
              <w:rPr>
                <w:rFonts w:cs="Arial"/>
                <w:sz w:val="20"/>
                <w:szCs w:val="20"/>
              </w:rPr>
              <w:t>administered and the checking of the patient identification.</w:t>
            </w:r>
          </w:p>
        </w:tc>
        <w:tc>
          <w:tcPr>
            <w:tcW w:w="1349" w:type="dxa"/>
            <w:noWrap/>
            <w:hideMark/>
          </w:tcPr>
          <w:p w14:paraId="12D5DC22" w14:textId="77777777" w:rsidR="009203D7" w:rsidRPr="009203D7" w:rsidRDefault="009203D7" w:rsidP="009203D7">
            <w:pPr>
              <w:spacing w:before="0"/>
              <w:rPr>
                <w:rFonts w:cs="Arial"/>
                <w:sz w:val="20"/>
                <w:szCs w:val="20"/>
              </w:rPr>
            </w:pPr>
          </w:p>
        </w:tc>
        <w:tc>
          <w:tcPr>
            <w:tcW w:w="1284" w:type="dxa"/>
            <w:noWrap/>
            <w:hideMark/>
          </w:tcPr>
          <w:p w14:paraId="316AD0EE" w14:textId="77777777" w:rsidR="009203D7" w:rsidRPr="009203D7" w:rsidRDefault="009203D7" w:rsidP="009203D7">
            <w:pPr>
              <w:spacing w:before="0"/>
              <w:rPr>
                <w:rFonts w:cs="Arial"/>
                <w:sz w:val="20"/>
                <w:szCs w:val="20"/>
              </w:rPr>
            </w:pPr>
          </w:p>
        </w:tc>
        <w:tc>
          <w:tcPr>
            <w:tcW w:w="1408" w:type="dxa"/>
            <w:noWrap/>
            <w:hideMark/>
          </w:tcPr>
          <w:p w14:paraId="69DE065C" w14:textId="77777777" w:rsidR="009203D7" w:rsidRPr="009203D7" w:rsidRDefault="009203D7" w:rsidP="009203D7">
            <w:pPr>
              <w:spacing w:before="0"/>
              <w:rPr>
                <w:rFonts w:cs="Arial"/>
                <w:sz w:val="20"/>
                <w:szCs w:val="20"/>
              </w:rPr>
            </w:pPr>
          </w:p>
        </w:tc>
      </w:tr>
      <w:tr w:rsidR="00D81A60" w:rsidRPr="009203D7" w14:paraId="4A7BCAD2" w14:textId="77777777" w:rsidTr="485CA11F">
        <w:trPr>
          <w:trHeight w:val="288"/>
        </w:trPr>
        <w:tc>
          <w:tcPr>
            <w:tcW w:w="5309" w:type="dxa"/>
            <w:noWrap/>
            <w:hideMark/>
          </w:tcPr>
          <w:p w14:paraId="717966AA" w14:textId="114061EC" w:rsidR="009203D7" w:rsidRPr="009203D7" w:rsidRDefault="009203D7" w:rsidP="0007409F">
            <w:pPr>
              <w:spacing w:before="0"/>
              <w:jc w:val="left"/>
              <w:rPr>
                <w:rFonts w:cs="Arial"/>
                <w:sz w:val="20"/>
                <w:szCs w:val="20"/>
              </w:rPr>
            </w:pPr>
            <w:r w:rsidRPr="009203D7">
              <w:rPr>
                <w:rFonts w:cs="Arial"/>
                <w:sz w:val="20"/>
                <w:szCs w:val="20"/>
              </w:rPr>
              <w:t>Demonstrate the ability to teach a patient/carer how to administer</w:t>
            </w:r>
            <w:r w:rsidR="0007409F">
              <w:rPr>
                <w:rFonts w:cs="Arial"/>
                <w:sz w:val="20"/>
                <w:szCs w:val="20"/>
              </w:rPr>
              <w:t xml:space="preserve"> </w:t>
            </w:r>
            <w:r w:rsidRPr="009203D7">
              <w:rPr>
                <w:rFonts w:cs="Arial"/>
                <w:sz w:val="20"/>
                <w:szCs w:val="20"/>
              </w:rPr>
              <w:t>subcutaneous methotrexate.</w:t>
            </w:r>
          </w:p>
        </w:tc>
        <w:tc>
          <w:tcPr>
            <w:tcW w:w="1349" w:type="dxa"/>
            <w:noWrap/>
            <w:hideMark/>
          </w:tcPr>
          <w:p w14:paraId="59648363" w14:textId="77777777" w:rsidR="009203D7" w:rsidRPr="009203D7" w:rsidRDefault="009203D7" w:rsidP="009203D7">
            <w:pPr>
              <w:spacing w:before="0"/>
              <w:rPr>
                <w:rFonts w:cs="Arial"/>
                <w:sz w:val="20"/>
                <w:szCs w:val="20"/>
              </w:rPr>
            </w:pPr>
          </w:p>
        </w:tc>
        <w:tc>
          <w:tcPr>
            <w:tcW w:w="1284" w:type="dxa"/>
            <w:noWrap/>
            <w:hideMark/>
          </w:tcPr>
          <w:p w14:paraId="00116215" w14:textId="77777777" w:rsidR="009203D7" w:rsidRPr="009203D7" w:rsidRDefault="009203D7" w:rsidP="009203D7">
            <w:pPr>
              <w:spacing w:before="0"/>
              <w:rPr>
                <w:rFonts w:cs="Arial"/>
                <w:sz w:val="20"/>
                <w:szCs w:val="20"/>
              </w:rPr>
            </w:pPr>
          </w:p>
        </w:tc>
        <w:tc>
          <w:tcPr>
            <w:tcW w:w="1408" w:type="dxa"/>
            <w:noWrap/>
            <w:hideMark/>
          </w:tcPr>
          <w:p w14:paraId="35EC6F6F" w14:textId="77777777" w:rsidR="009203D7" w:rsidRPr="009203D7" w:rsidRDefault="009203D7" w:rsidP="009203D7">
            <w:pPr>
              <w:spacing w:before="0"/>
              <w:rPr>
                <w:rFonts w:cs="Arial"/>
                <w:sz w:val="20"/>
                <w:szCs w:val="20"/>
              </w:rPr>
            </w:pPr>
          </w:p>
        </w:tc>
      </w:tr>
      <w:tr w:rsidR="00D81A60" w:rsidRPr="009203D7" w14:paraId="05D78B7A" w14:textId="77777777" w:rsidTr="485CA11F">
        <w:trPr>
          <w:trHeight w:val="288"/>
        </w:trPr>
        <w:tc>
          <w:tcPr>
            <w:tcW w:w="5309" w:type="dxa"/>
            <w:noWrap/>
            <w:hideMark/>
          </w:tcPr>
          <w:p w14:paraId="0A20A512" w14:textId="09052790" w:rsidR="009203D7" w:rsidRPr="009203D7" w:rsidRDefault="009203D7" w:rsidP="0007409F">
            <w:pPr>
              <w:spacing w:before="0"/>
              <w:jc w:val="left"/>
              <w:rPr>
                <w:rFonts w:cs="Arial"/>
                <w:sz w:val="20"/>
                <w:szCs w:val="20"/>
              </w:rPr>
            </w:pPr>
            <w:r w:rsidRPr="009203D7">
              <w:rPr>
                <w:rFonts w:cs="Arial"/>
                <w:sz w:val="20"/>
                <w:szCs w:val="20"/>
              </w:rPr>
              <w:t>Demonstrate the ability to assess a</w:t>
            </w:r>
            <w:r w:rsidR="0007409F">
              <w:rPr>
                <w:rFonts w:cs="Arial"/>
                <w:sz w:val="20"/>
                <w:szCs w:val="20"/>
              </w:rPr>
              <w:t xml:space="preserve"> </w:t>
            </w:r>
            <w:r w:rsidRPr="009203D7">
              <w:rPr>
                <w:rFonts w:cs="Arial"/>
                <w:sz w:val="20"/>
                <w:szCs w:val="20"/>
              </w:rPr>
              <w:t>patient’s/carer’s suitability for</w:t>
            </w:r>
            <w:r w:rsidR="0007409F">
              <w:rPr>
                <w:rFonts w:cs="Arial"/>
                <w:sz w:val="20"/>
                <w:szCs w:val="20"/>
              </w:rPr>
              <w:t xml:space="preserve"> </w:t>
            </w:r>
            <w:r w:rsidRPr="009203D7">
              <w:rPr>
                <w:rFonts w:cs="Arial"/>
                <w:sz w:val="20"/>
                <w:szCs w:val="20"/>
              </w:rPr>
              <w:t>home administration of subcutaneous methotrexate.</w:t>
            </w:r>
          </w:p>
        </w:tc>
        <w:tc>
          <w:tcPr>
            <w:tcW w:w="1349" w:type="dxa"/>
            <w:noWrap/>
            <w:hideMark/>
          </w:tcPr>
          <w:p w14:paraId="216961A8" w14:textId="77777777" w:rsidR="009203D7" w:rsidRPr="009203D7" w:rsidRDefault="009203D7" w:rsidP="009203D7">
            <w:pPr>
              <w:spacing w:before="0"/>
              <w:rPr>
                <w:rFonts w:cs="Arial"/>
                <w:sz w:val="20"/>
                <w:szCs w:val="20"/>
              </w:rPr>
            </w:pPr>
          </w:p>
        </w:tc>
        <w:tc>
          <w:tcPr>
            <w:tcW w:w="1284" w:type="dxa"/>
            <w:noWrap/>
            <w:hideMark/>
          </w:tcPr>
          <w:p w14:paraId="62D433C2" w14:textId="77777777" w:rsidR="009203D7" w:rsidRPr="009203D7" w:rsidRDefault="009203D7" w:rsidP="009203D7">
            <w:pPr>
              <w:spacing w:before="0"/>
              <w:rPr>
                <w:rFonts w:cs="Arial"/>
                <w:sz w:val="20"/>
                <w:szCs w:val="20"/>
              </w:rPr>
            </w:pPr>
          </w:p>
        </w:tc>
        <w:tc>
          <w:tcPr>
            <w:tcW w:w="1408" w:type="dxa"/>
            <w:noWrap/>
            <w:hideMark/>
          </w:tcPr>
          <w:p w14:paraId="01D28F7E" w14:textId="77777777" w:rsidR="009203D7" w:rsidRPr="009203D7" w:rsidRDefault="009203D7" w:rsidP="009203D7">
            <w:pPr>
              <w:spacing w:before="0"/>
              <w:rPr>
                <w:rFonts w:cs="Arial"/>
                <w:sz w:val="20"/>
                <w:szCs w:val="20"/>
              </w:rPr>
            </w:pPr>
          </w:p>
        </w:tc>
      </w:tr>
      <w:tr w:rsidR="00D81A60" w:rsidRPr="009203D7" w14:paraId="0D67517E" w14:textId="77777777" w:rsidTr="485CA11F">
        <w:trPr>
          <w:trHeight w:val="288"/>
        </w:trPr>
        <w:tc>
          <w:tcPr>
            <w:tcW w:w="5309" w:type="dxa"/>
            <w:noWrap/>
            <w:hideMark/>
          </w:tcPr>
          <w:p w14:paraId="390E6B5D" w14:textId="440B2E13" w:rsidR="009203D7" w:rsidRPr="009203D7" w:rsidRDefault="009203D7" w:rsidP="0007409F">
            <w:pPr>
              <w:spacing w:before="0"/>
              <w:jc w:val="left"/>
              <w:rPr>
                <w:rFonts w:cs="Arial"/>
                <w:sz w:val="20"/>
                <w:szCs w:val="20"/>
              </w:rPr>
            </w:pPr>
            <w:r w:rsidRPr="009203D7">
              <w:rPr>
                <w:rFonts w:cs="Arial"/>
                <w:sz w:val="20"/>
                <w:szCs w:val="20"/>
              </w:rPr>
              <w:t>Describe local health and safety guidelines and risk assessment</w:t>
            </w:r>
            <w:r w:rsidR="0007409F">
              <w:rPr>
                <w:rFonts w:cs="Arial"/>
                <w:sz w:val="20"/>
                <w:szCs w:val="20"/>
              </w:rPr>
              <w:t xml:space="preserve"> </w:t>
            </w:r>
            <w:r w:rsidRPr="009203D7">
              <w:rPr>
                <w:rFonts w:cs="Arial"/>
                <w:sz w:val="20"/>
                <w:szCs w:val="20"/>
              </w:rPr>
              <w:t>required for providing a</w:t>
            </w:r>
            <w:r w:rsidR="0007409F">
              <w:rPr>
                <w:rFonts w:cs="Arial"/>
                <w:sz w:val="20"/>
                <w:szCs w:val="20"/>
              </w:rPr>
              <w:t xml:space="preserve"> </w:t>
            </w:r>
            <w:r w:rsidRPr="009203D7">
              <w:rPr>
                <w:rFonts w:cs="Arial"/>
                <w:sz w:val="20"/>
                <w:szCs w:val="20"/>
              </w:rPr>
              <w:t>subcutaneous methotrexate service in</w:t>
            </w:r>
            <w:r w:rsidR="0007409F">
              <w:rPr>
                <w:rFonts w:cs="Arial"/>
                <w:sz w:val="20"/>
                <w:szCs w:val="20"/>
              </w:rPr>
              <w:t xml:space="preserve"> </w:t>
            </w:r>
            <w:r w:rsidRPr="009203D7">
              <w:rPr>
                <w:rFonts w:cs="Arial"/>
                <w:sz w:val="20"/>
                <w:szCs w:val="20"/>
              </w:rPr>
              <w:t>hospital and in the patient’s home. With particular</w:t>
            </w:r>
            <w:r w:rsidR="00D7720C">
              <w:rPr>
                <w:rFonts w:cs="Arial"/>
                <w:sz w:val="20"/>
                <w:szCs w:val="20"/>
              </w:rPr>
              <w:t xml:space="preserve"> </w:t>
            </w:r>
            <w:r w:rsidRPr="009203D7">
              <w:rPr>
                <w:rFonts w:cs="Arial"/>
                <w:sz w:val="20"/>
                <w:szCs w:val="20"/>
              </w:rPr>
              <w:t>relevance to:</w:t>
            </w:r>
            <w:r w:rsidRPr="009203D7">
              <w:rPr>
                <w:rFonts w:cs="Arial"/>
                <w:sz w:val="20"/>
                <w:szCs w:val="20"/>
              </w:rPr>
              <w:br/>
              <w:t>• safe storage and handling</w:t>
            </w:r>
            <w:r w:rsidRPr="009203D7">
              <w:rPr>
                <w:rFonts w:cs="Arial"/>
                <w:sz w:val="20"/>
                <w:szCs w:val="20"/>
              </w:rPr>
              <w:br/>
              <w:t>• dealing with disposal and rare situation of spillage</w:t>
            </w:r>
            <w:r w:rsidRPr="009203D7">
              <w:rPr>
                <w:rFonts w:cs="Arial"/>
                <w:sz w:val="20"/>
                <w:szCs w:val="20"/>
              </w:rPr>
              <w:br/>
              <w:t>• ensuring a quiet and safe environment</w:t>
            </w:r>
            <w:r w:rsidRPr="009203D7">
              <w:rPr>
                <w:rFonts w:cs="Arial"/>
                <w:sz w:val="20"/>
                <w:szCs w:val="20"/>
              </w:rPr>
              <w:br/>
              <w:t>• preventing unnecessary exposure to other people</w:t>
            </w:r>
            <w:r w:rsidRPr="009203D7">
              <w:rPr>
                <w:rFonts w:cs="Arial"/>
                <w:sz w:val="20"/>
                <w:szCs w:val="20"/>
              </w:rPr>
              <w:br/>
              <w:t>• travelling and transporting methotrexate.</w:t>
            </w:r>
          </w:p>
        </w:tc>
        <w:tc>
          <w:tcPr>
            <w:tcW w:w="1349" w:type="dxa"/>
            <w:noWrap/>
            <w:hideMark/>
          </w:tcPr>
          <w:p w14:paraId="7939A76A" w14:textId="77777777" w:rsidR="009203D7" w:rsidRPr="009203D7" w:rsidRDefault="009203D7" w:rsidP="009203D7">
            <w:pPr>
              <w:spacing w:before="0"/>
              <w:rPr>
                <w:rFonts w:cs="Arial"/>
                <w:sz w:val="20"/>
                <w:szCs w:val="20"/>
              </w:rPr>
            </w:pPr>
          </w:p>
        </w:tc>
        <w:tc>
          <w:tcPr>
            <w:tcW w:w="1284" w:type="dxa"/>
            <w:noWrap/>
            <w:hideMark/>
          </w:tcPr>
          <w:p w14:paraId="33D879DB" w14:textId="77777777" w:rsidR="009203D7" w:rsidRPr="009203D7" w:rsidRDefault="009203D7" w:rsidP="009203D7">
            <w:pPr>
              <w:spacing w:before="0"/>
              <w:rPr>
                <w:rFonts w:cs="Arial"/>
                <w:sz w:val="20"/>
                <w:szCs w:val="20"/>
              </w:rPr>
            </w:pPr>
          </w:p>
        </w:tc>
        <w:tc>
          <w:tcPr>
            <w:tcW w:w="1408" w:type="dxa"/>
            <w:noWrap/>
            <w:hideMark/>
          </w:tcPr>
          <w:p w14:paraId="12C79337" w14:textId="77777777" w:rsidR="009203D7" w:rsidRPr="009203D7" w:rsidRDefault="009203D7" w:rsidP="009203D7">
            <w:pPr>
              <w:spacing w:before="0"/>
              <w:rPr>
                <w:rFonts w:cs="Arial"/>
                <w:sz w:val="20"/>
                <w:szCs w:val="20"/>
              </w:rPr>
            </w:pPr>
          </w:p>
        </w:tc>
      </w:tr>
      <w:tr w:rsidR="00D81A60" w:rsidRPr="009203D7" w14:paraId="325E7706" w14:textId="77777777" w:rsidTr="485CA11F">
        <w:trPr>
          <w:trHeight w:val="288"/>
        </w:trPr>
        <w:tc>
          <w:tcPr>
            <w:tcW w:w="5309" w:type="dxa"/>
            <w:noWrap/>
            <w:hideMark/>
          </w:tcPr>
          <w:p w14:paraId="4FADFE34" w14:textId="6D300C10" w:rsidR="009203D7" w:rsidRPr="009203D7" w:rsidRDefault="009203D7" w:rsidP="00D7720C">
            <w:pPr>
              <w:spacing w:before="0"/>
              <w:jc w:val="left"/>
              <w:rPr>
                <w:rFonts w:cs="Arial"/>
                <w:sz w:val="20"/>
                <w:szCs w:val="20"/>
              </w:rPr>
            </w:pPr>
            <w:r w:rsidRPr="009203D7">
              <w:rPr>
                <w:rFonts w:cs="Arial"/>
                <w:sz w:val="20"/>
                <w:szCs w:val="20"/>
              </w:rPr>
              <w:lastRenderedPageBreak/>
              <w:t>Demonstrate the ability to discuss the information/educational</w:t>
            </w:r>
            <w:r w:rsidR="00D7720C">
              <w:rPr>
                <w:rFonts w:cs="Arial"/>
                <w:sz w:val="20"/>
                <w:szCs w:val="20"/>
              </w:rPr>
              <w:t xml:space="preserve"> </w:t>
            </w:r>
            <w:r w:rsidRPr="009203D7">
              <w:rPr>
                <w:rFonts w:cs="Arial"/>
                <w:sz w:val="20"/>
                <w:szCs w:val="20"/>
              </w:rPr>
              <w:t>needs of the patient/carer in relation to home administration of</w:t>
            </w:r>
            <w:r w:rsidR="00D7720C">
              <w:rPr>
                <w:rFonts w:cs="Arial"/>
                <w:sz w:val="20"/>
                <w:szCs w:val="20"/>
              </w:rPr>
              <w:t xml:space="preserve"> </w:t>
            </w:r>
            <w:r w:rsidRPr="009203D7">
              <w:rPr>
                <w:rFonts w:cs="Arial"/>
                <w:sz w:val="20"/>
                <w:szCs w:val="20"/>
              </w:rPr>
              <w:t>subcutaneous methotrexate therapy.</w:t>
            </w:r>
          </w:p>
        </w:tc>
        <w:tc>
          <w:tcPr>
            <w:tcW w:w="1349" w:type="dxa"/>
            <w:noWrap/>
            <w:hideMark/>
          </w:tcPr>
          <w:p w14:paraId="60FDE9E7" w14:textId="77777777" w:rsidR="009203D7" w:rsidRPr="009203D7" w:rsidRDefault="009203D7" w:rsidP="009203D7">
            <w:pPr>
              <w:spacing w:before="0"/>
              <w:rPr>
                <w:rFonts w:cs="Arial"/>
                <w:sz w:val="20"/>
                <w:szCs w:val="20"/>
              </w:rPr>
            </w:pPr>
          </w:p>
        </w:tc>
        <w:tc>
          <w:tcPr>
            <w:tcW w:w="1284" w:type="dxa"/>
            <w:noWrap/>
            <w:hideMark/>
          </w:tcPr>
          <w:p w14:paraId="08033B08" w14:textId="77777777" w:rsidR="009203D7" w:rsidRPr="009203D7" w:rsidRDefault="009203D7" w:rsidP="009203D7">
            <w:pPr>
              <w:spacing w:before="0"/>
              <w:rPr>
                <w:rFonts w:cs="Arial"/>
                <w:sz w:val="20"/>
                <w:szCs w:val="20"/>
              </w:rPr>
            </w:pPr>
          </w:p>
        </w:tc>
        <w:tc>
          <w:tcPr>
            <w:tcW w:w="1408" w:type="dxa"/>
            <w:noWrap/>
            <w:hideMark/>
          </w:tcPr>
          <w:p w14:paraId="7EFC5BE6" w14:textId="77777777" w:rsidR="009203D7" w:rsidRPr="009203D7" w:rsidRDefault="009203D7" w:rsidP="009203D7">
            <w:pPr>
              <w:spacing w:before="0"/>
              <w:rPr>
                <w:rFonts w:cs="Arial"/>
                <w:sz w:val="20"/>
                <w:szCs w:val="20"/>
              </w:rPr>
            </w:pPr>
          </w:p>
        </w:tc>
      </w:tr>
      <w:tr w:rsidR="00D81A60" w:rsidRPr="009203D7" w14:paraId="666F239F" w14:textId="77777777" w:rsidTr="485CA11F">
        <w:trPr>
          <w:trHeight w:val="288"/>
        </w:trPr>
        <w:tc>
          <w:tcPr>
            <w:tcW w:w="5309" w:type="dxa"/>
            <w:noWrap/>
            <w:hideMark/>
          </w:tcPr>
          <w:p w14:paraId="6D08ED61" w14:textId="08D1D5F3" w:rsidR="009203D7" w:rsidRPr="009203D7" w:rsidRDefault="009203D7" w:rsidP="00D7720C">
            <w:pPr>
              <w:spacing w:before="0"/>
              <w:jc w:val="left"/>
              <w:rPr>
                <w:rFonts w:cs="Arial"/>
                <w:sz w:val="20"/>
                <w:szCs w:val="20"/>
              </w:rPr>
            </w:pPr>
            <w:r w:rsidRPr="009203D7">
              <w:rPr>
                <w:rFonts w:cs="Arial"/>
                <w:sz w:val="20"/>
                <w:szCs w:val="20"/>
              </w:rPr>
              <w:t>Demonstrate the ability to provide the</w:t>
            </w:r>
            <w:r w:rsidR="00D7720C">
              <w:rPr>
                <w:rFonts w:cs="Arial"/>
                <w:sz w:val="20"/>
                <w:szCs w:val="20"/>
              </w:rPr>
              <w:t xml:space="preserve"> </w:t>
            </w:r>
            <w:r w:rsidRPr="009203D7">
              <w:rPr>
                <w:rFonts w:cs="Arial"/>
                <w:sz w:val="20"/>
                <w:szCs w:val="20"/>
              </w:rPr>
              <w:t>patient/carer with information</w:t>
            </w:r>
            <w:r w:rsidR="00D7720C">
              <w:rPr>
                <w:rFonts w:cs="Arial"/>
                <w:sz w:val="20"/>
                <w:szCs w:val="20"/>
              </w:rPr>
              <w:t xml:space="preserve"> </w:t>
            </w:r>
            <w:r w:rsidRPr="009203D7">
              <w:rPr>
                <w:rFonts w:cs="Arial"/>
                <w:sz w:val="20"/>
                <w:szCs w:val="20"/>
              </w:rPr>
              <w:t xml:space="preserve">about the treatment in order that they </w:t>
            </w:r>
            <w:r w:rsidR="007D1DF5" w:rsidRPr="009203D7">
              <w:rPr>
                <w:rFonts w:cs="Arial"/>
                <w:sz w:val="20"/>
                <w:szCs w:val="20"/>
              </w:rPr>
              <w:t>can</w:t>
            </w:r>
            <w:r w:rsidRPr="009203D7">
              <w:rPr>
                <w:rFonts w:cs="Arial"/>
                <w:sz w:val="20"/>
                <w:szCs w:val="20"/>
              </w:rPr>
              <w:t xml:space="preserve"> give informed</w:t>
            </w:r>
            <w:r w:rsidR="00D7720C">
              <w:rPr>
                <w:rFonts w:cs="Arial"/>
                <w:sz w:val="20"/>
                <w:szCs w:val="20"/>
              </w:rPr>
              <w:t xml:space="preserve"> </w:t>
            </w:r>
            <w:r w:rsidRPr="009203D7">
              <w:rPr>
                <w:rFonts w:cs="Arial"/>
                <w:sz w:val="20"/>
                <w:szCs w:val="20"/>
              </w:rPr>
              <w:t>consent (written/verbal – in line with local</w:t>
            </w:r>
            <w:r w:rsidR="00D7720C">
              <w:rPr>
                <w:rFonts w:cs="Arial"/>
                <w:sz w:val="20"/>
                <w:szCs w:val="20"/>
              </w:rPr>
              <w:t xml:space="preserve"> </w:t>
            </w:r>
            <w:r w:rsidRPr="009203D7">
              <w:rPr>
                <w:rFonts w:cs="Arial"/>
                <w:sz w:val="20"/>
                <w:szCs w:val="20"/>
              </w:rPr>
              <w:t>guidelines).</w:t>
            </w:r>
          </w:p>
        </w:tc>
        <w:tc>
          <w:tcPr>
            <w:tcW w:w="1349" w:type="dxa"/>
            <w:noWrap/>
            <w:hideMark/>
          </w:tcPr>
          <w:p w14:paraId="0A879807" w14:textId="77777777" w:rsidR="009203D7" w:rsidRPr="009203D7" w:rsidRDefault="009203D7" w:rsidP="009203D7">
            <w:pPr>
              <w:spacing w:before="0"/>
              <w:rPr>
                <w:rFonts w:cs="Arial"/>
                <w:sz w:val="20"/>
                <w:szCs w:val="20"/>
              </w:rPr>
            </w:pPr>
          </w:p>
        </w:tc>
        <w:tc>
          <w:tcPr>
            <w:tcW w:w="1284" w:type="dxa"/>
            <w:noWrap/>
            <w:hideMark/>
          </w:tcPr>
          <w:p w14:paraId="0EE00CB4" w14:textId="77777777" w:rsidR="009203D7" w:rsidRPr="009203D7" w:rsidRDefault="009203D7" w:rsidP="009203D7">
            <w:pPr>
              <w:spacing w:before="0"/>
              <w:rPr>
                <w:rFonts w:cs="Arial"/>
                <w:sz w:val="20"/>
                <w:szCs w:val="20"/>
              </w:rPr>
            </w:pPr>
          </w:p>
        </w:tc>
        <w:tc>
          <w:tcPr>
            <w:tcW w:w="1408" w:type="dxa"/>
            <w:noWrap/>
            <w:hideMark/>
          </w:tcPr>
          <w:p w14:paraId="445405CB" w14:textId="77777777" w:rsidR="009203D7" w:rsidRPr="009203D7" w:rsidRDefault="009203D7" w:rsidP="009203D7">
            <w:pPr>
              <w:spacing w:before="0"/>
              <w:rPr>
                <w:rFonts w:cs="Arial"/>
                <w:sz w:val="20"/>
                <w:szCs w:val="20"/>
              </w:rPr>
            </w:pPr>
          </w:p>
        </w:tc>
      </w:tr>
      <w:tr w:rsidR="00D81A60" w:rsidRPr="009203D7" w14:paraId="6C3F9695" w14:textId="77777777" w:rsidTr="485CA11F">
        <w:trPr>
          <w:trHeight w:val="288"/>
        </w:trPr>
        <w:tc>
          <w:tcPr>
            <w:tcW w:w="5309" w:type="dxa"/>
            <w:noWrap/>
            <w:hideMark/>
          </w:tcPr>
          <w:p w14:paraId="50B673A9" w14:textId="0F245B21" w:rsidR="009203D7" w:rsidRPr="009203D7" w:rsidRDefault="009203D7" w:rsidP="00D7720C">
            <w:pPr>
              <w:spacing w:before="0"/>
              <w:jc w:val="left"/>
              <w:rPr>
                <w:rFonts w:cs="Arial"/>
                <w:sz w:val="20"/>
                <w:szCs w:val="20"/>
              </w:rPr>
            </w:pPr>
            <w:r w:rsidRPr="009203D7">
              <w:rPr>
                <w:rFonts w:cs="Arial"/>
                <w:sz w:val="20"/>
                <w:szCs w:val="20"/>
              </w:rPr>
              <w:t>Describe sites on the body that would be</w:t>
            </w:r>
            <w:r w:rsidR="00D7720C">
              <w:rPr>
                <w:rFonts w:cs="Arial"/>
                <w:sz w:val="20"/>
                <w:szCs w:val="20"/>
              </w:rPr>
              <w:t xml:space="preserve"> </w:t>
            </w:r>
            <w:r w:rsidRPr="009203D7">
              <w:rPr>
                <w:rFonts w:cs="Arial"/>
                <w:sz w:val="20"/>
                <w:szCs w:val="20"/>
              </w:rPr>
              <w:t>appropriate for</w:t>
            </w:r>
            <w:r w:rsidR="00D7720C">
              <w:rPr>
                <w:rFonts w:cs="Arial"/>
                <w:sz w:val="20"/>
                <w:szCs w:val="20"/>
              </w:rPr>
              <w:t xml:space="preserve"> </w:t>
            </w:r>
            <w:r w:rsidRPr="009203D7">
              <w:rPr>
                <w:rFonts w:cs="Arial"/>
                <w:sz w:val="20"/>
                <w:szCs w:val="20"/>
              </w:rPr>
              <w:t>subcutaneous methotrexate injection.</w:t>
            </w:r>
          </w:p>
        </w:tc>
        <w:tc>
          <w:tcPr>
            <w:tcW w:w="1349" w:type="dxa"/>
            <w:noWrap/>
            <w:hideMark/>
          </w:tcPr>
          <w:p w14:paraId="027FFFA0" w14:textId="77777777" w:rsidR="009203D7" w:rsidRPr="009203D7" w:rsidRDefault="009203D7" w:rsidP="009203D7">
            <w:pPr>
              <w:spacing w:before="0"/>
              <w:rPr>
                <w:rFonts w:cs="Arial"/>
                <w:sz w:val="20"/>
                <w:szCs w:val="20"/>
              </w:rPr>
            </w:pPr>
          </w:p>
        </w:tc>
        <w:tc>
          <w:tcPr>
            <w:tcW w:w="1284" w:type="dxa"/>
            <w:noWrap/>
            <w:hideMark/>
          </w:tcPr>
          <w:p w14:paraId="037E5FD1" w14:textId="77777777" w:rsidR="009203D7" w:rsidRPr="009203D7" w:rsidRDefault="009203D7" w:rsidP="009203D7">
            <w:pPr>
              <w:spacing w:before="0"/>
              <w:rPr>
                <w:rFonts w:cs="Arial"/>
                <w:sz w:val="20"/>
                <w:szCs w:val="20"/>
              </w:rPr>
            </w:pPr>
          </w:p>
        </w:tc>
        <w:tc>
          <w:tcPr>
            <w:tcW w:w="1408" w:type="dxa"/>
            <w:noWrap/>
            <w:hideMark/>
          </w:tcPr>
          <w:p w14:paraId="222E7B5E" w14:textId="77777777" w:rsidR="009203D7" w:rsidRPr="009203D7" w:rsidRDefault="009203D7" w:rsidP="009203D7">
            <w:pPr>
              <w:spacing w:before="0"/>
              <w:rPr>
                <w:rFonts w:cs="Arial"/>
                <w:sz w:val="20"/>
                <w:szCs w:val="20"/>
              </w:rPr>
            </w:pPr>
          </w:p>
        </w:tc>
      </w:tr>
      <w:tr w:rsidR="00D81A60" w:rsidRPr="009203D7" w14:paraId="69F67691" w14:textId="77777777" w:rsidTr="485CA11F">
        <w:trPr>
          <w:trHeight w:val="288"/>
        </w:trPr>
        <w:tc>
          <w:tcPr>
            <w:tcW w:w="5309" w:type="dxa"/>
            <w:noWrap/>
            <w:hideMark/>
          </w:tcPr>
          <w:p w14:paraId="5E80D417" w14:textId="3BB092EF" w:rsidR="009203D7" w:rsidRPr="009203D7" w:rsidRDefault="009203D7" w:rsidP="00525E8C">
            <w:pPr>
              <w:spacing w:before="0"/>
              <w:jc w:val="left"/>
              <w:rPr>
                <w:rFonts w:cs="Arial"/>
                <w:sz w:val="20"/>
                <w:szCs w:val="20"/>
              </w:rPr>
            </w:pPr>
            <w:r w:rsidRPr="009203D7">
              <w:rPr>
                <w:rFonts w:cs="Arial"/>
                <w:sz w:val="20"/>
                <w:szCs w:val="20"/>
              </w:rPr>
              <w:t>Demonstrate the ability to maintain concise and accurate patient</w:t>
            </w:r>
            <w:r w:rsidR="00525E8C">
              <w:rPr>
                <w:rFonts w:cs="Arial"/>
                <w:sz w:val="20"/>
                <w:szCs w:val="20"/>
              </w:rPr>
              <w:t xml:space="preserve"> </w:t>
            </w:r>
            <w:r w:rsidRPr="009203D7">
              <w:rPr>
                <w:rFonts w:cs="Arial"/>
                <w:sz w:val="20"/>
                <w:szCs w:val="20"/>
              </w:rPr>
              <w:t>documentation and audit.</w:t>
            </w:r>
          </w:p>
        </w:tc>
        <w:tc>
          <w:tcPr>
            <w:tcW w:w="1349" w:type="dxa"/>
            <w:noWrap/>
            <w:hideMark/>
          </w:tcPr>
          <w:p w14:paraId="0F5565A1" w14:textId="77777777" w:rsidR="009203D7" w:rsidRPr="009203D7" w:rsidRDefault="009203D7" w:rsidP="009203D7">
            <w:pPr>
              <w:spacing w:before="0"/>
              <w:rPr>
                <w:rFonts w:cs="Arial"/>
                <w:sz w:val="20"/>
                <w:szCs w:val="20"/>
              </w:rPr>
            </w:pPr>
          </w:p>
        </w:tc>
        <w:tc>
          <w:tcPr>
            <w:tcW w:w="1284" w:type="dxa"/>
            <w:noWrap/>
            <w:hideMark/>
          </w:tcPr>
          <w:p w14:paraId="5A287AD9" w14:textId="77777777" w:rsidR="009203D7" w:rsidRPr="009203D7" w:rsidRDefault="009203D7" w:rsidP="009203D7">
            <w:pPr>
              <w:spacing w:before="0"/>
              <w:rPr>
                <w:rFonts w:cs="Arial"/>
                <w:sz w:val="20"/>
                <w:szCs w:val="20"/>
              </w:rPr>
            </w:pPr>
          </w:p>
        </w:tc>
        <w:tc>
          <w:tcPr>
            <w:tcW w:w="1408" w:type="dxa"/>
            <w:noWrap/>
            <w:hideMark/>
          </w:tcPr>
          <w:p w14:paraId="5DFDBADC" w14:textId="77777777" w:rsidR="009203D7" w:rsidRPr="009203D7" w:rsidRDefault="009203D7" w:rsidP="009203D7">
            <w:pPr>
              <w:spacing w:before="0"/>
              <w:rPr>
                <w:rFonts w:cs="Arial"/>
                <w:sz w:val="20"/>
                <w:szCs w:val="20"/>
              </w:rPr>
            </w:pPr>
          </w:p>
        </w:tc>
      </w:tr>
      <w:tr w:rsidR="00D81A60" w:rsidRPr="009203D7" w14:paraId="35871E33" w14:textId="77777777" w:rsidTr="485CA11F">
        <w:trPr>
          <w:trHeight w:val="288"/>
        </w:trPr>
        <w:tc>
          <w:tcPr>
            <w:tcW w:w="5309" w:type="dxa"/>
            <w:noWrap/>
            <w:hideMark/>
          </w:tcPr>
          <w:p w14:paraId="2F2F810D" w14:textId="5F8356FE" w:rsidR="009203D7" w:rsidRPr="009203D7" w:rsidRDefault="009203D7" w:rsidP="00525E8C">
            <w:pPr>
              <w:spacing w:before="0"/>
              <w:jc w:val="left"/>
              <w:rPr>
                <w:rFonts w:cs="Arial"/>
                <w:sz w:val="20"/>
                <w:szCs w:val="20"/>
              </w:rPr>
            </w:pPr>
            <w:r w:rsidRPr="009203D7">
              <w:rPr>
                <w:rFonts w:cs="Arial"/>
                <w:sz w:val="20"/>
                <w:szCs w:val="20"/>
              </w:rPr>
              <w:t>Describe the local monitoring requirements and follow up</w:t>
            </w:r>
            <w:r w:rsidR="00525E8C">
              <w:rPr>
                <w:rFonts w:cs="Arial"/>
                <w:sz w:val="20"/>
                <w:szCs w:val="20"/>
              </w:rPr>
              <w:t xml:space="preserve"> </w:t>
            </w:r>
            <w:r w:rsidRPr="009203D7">
              <w:rPr>
                <w:rFonts w:cs="Arial"/>
                <w:sz w:val="20"/>
                <w:szCs w:val="20"/>
              </w:rPr>
              <w:t>arrangements for subcutaneous methotrexate therapy and the</w:t>
            </w:r>
            <w:r w:rsidR="00525E8C">
              <w:rPr>
                <w:rFonts w:cs="Arial"/>
                <w:sz w:val="20"/>
                <w:szCs w:val="20"/>
              </w:rPr>
              <w:t xml:space="preserve"> </w:t>
            </w:r>
            <w:r w:rsidRPr="009203D7">
              <w:rPr>
                <w:rFonts w:cs="Arial"/>
                <w:sz w:val="20"/>
                <w:szCs w:val="20"/>
              </w:rPr>
              <w:t>actions that must be taken in the event of a blood dyscrasia.</w:t>
            </w:r>
          </w:p>
        </w:tc>
        <w:tc>
          <w:tcPr>
            <w:tcW w:w="1349" w:type="dxa"/>
            <w:noWrap/>
            <w:hideMark/>
          </w:tcPr>
          <w:p w14:paraId="4C76AA89" w14:textId="77777777" w:rsidR="009203D7" w:rsidRPr="009203D7" w:rsidRDefault="009203D7" w:rsidP="009203D7">
            <w:pPr>
              <w:spacing w:before="0"/>
              <w:rPr>
                <w:rFonts w:cs="Arial"/>
                <w:sz w:val="20"/>
                <w:szCs w:val="20"/>
              </w:rPr>
            </w:pPr>
          </w:p>
        </w:tc>
        <w:tc>
          <w:tcPr>
            <w:tcW w:w="1284" w:type="dxa"/>
            <w:noWrap/>
            <w:hideMark/>
          </w:tcPr>
          <w:p w14:paraId="7F79294D" w14:textId="77777777" w:rsidR="009203D7" w:rsidRPr="009203D7" w:rsidRDefault="009203D7" w:rsidP="009203D7">
            <w:pPr>
              <w:spacing w:before="0"/>
              <w:rPr>
                <w:rFonts w:cs="Arial"/>
                <w:sz w:val="20"/>
                <w:szCs w:val="20"/>
              </w:rPr>
            </w:pPr>
          </w:p>
        </w:tc>
        <w:tc>
          <w:tcPr>
            <w:tcW w:w="1408" w:type="dxa"/>
            <w:noWrap/>
            <w:hideMark/>
          </w:tcPr>
          <w:p w14:paraId="66325F83" w14:textId="77777777" w:rsidR="009203D7" w:rsidRPr="009203D7" w:rsidRDefault="009203D7" w:rsidP="009203D7">
            <w:pPr>
              <w:spacing w:before="0"/>
              <w:rPr>
                <w:rFonts w:cs="Arial"/>
                <w:sz w:val="20"/>
                <w:szCs w:val="20"/>
              </w:rPr>
            </w:pPr>
          </w:p>
        </w:tc>
      </w:tr>
      <w:tr w:rsidR="00D81A60" w:rsidRPr="009203D7" w14:paraId="5451192C" w14:textId="77777777" w:rsidTr="485CA11F">
        <w:trPr>
          <w:trHeight w:val="288"/>
        </w:trPr>
        <w:tc>
          <w:tcPr>
            <w:tcW w:w="5309" w:type="dxa"/>
            <w:noWrap/>
            <w:hideMark/>
          </w:tcPr>
          <w:p w14:paraId="1B9E5CCD" w14:textId="2C3317D3" w:rsidR="009203D7" w:rsidRPr="009203D7" w:rsidRDefault="009203D7" w:rsidP="00525E8C">
            <w:pPr>
              <w:spacing w:before="0"/>
              <w:jc w:val="left"/>
              <w:rPr>
                <w:rFonts w:cs="Arial"/>
                <w:sz w:val="20"/>
                <w:szCs w:val="20"/>
              </w:rPr>
            </w:pPr>
            <w:r w:rsidRPr="009203D7">
              <w:rPr>
                <w:rFonts w:cs="Arial"/>
                <w:sz w:val="20"/>
                <w:szCs w:val="20"/>
              </w:rPr>
              <w:t>Describe the rationale for the use of folic acid supplementation in</w:t>
            </w:r>
            <w:r w:rsidR="00525E8C">
              <w:rPr>
                <w:rFonts w:cs="Arial"/>
                <w:sz w:val="20"/>
                <w:szCs w:val="20"/>
              </w:rPr>
              <w:t xml:space="preserve"> </w:t>
            </w:r>
            <w:r w:rsidRPr="009203D7">
              <w:rPr>
                <w:rFonts w:cs="Arial"/>
                <w:sz w:val="20"/>
                <w:szCs w:val="20"/>
              </w:rPr>
              <w:t>patients receiving subcutaneous methotrexate.</w:t>
            </w:r>
          </w:p>
        </w:tc>
        <w:tc>
          <w:tcPr>
            <w:tcW w:w="1349" w:type="dxa"/>
            <w:noWrap/>
            <w:hideMark/>
          </w:tcPr>
          <w:p w14:paraId="255AE8E2" w14:textId="77777777" w:rsidR="009203D7" w:rsidRPr="009203D7" w:rsidRDefault="009203D7" w:rsidP="009203D7">
            <w:pPr>
              <w:spacing w:before="0"/>
              <w:rPr>
                <w:rFonts w:cs="Arial"/>
                <w:sz w:val="20"/>
                <w:szCs w:val="20"/>
              </w:rPr>
            </w:pPr>
          </w:p>
        </w:tc>
        <w:tc>
          <w:tcPr>
            <w:tcW w:w="1284" w:type="dxa"/>
            <w:noWrap/>
            <w:hideMark/>
          </w:tcPr>
          <w:p w14:paraId="2BA4F9B9" w14:textId="77777777" w:rsidR="009203D7" w:rsidRPr="009203D7" w:rsidRDefault="009203D7" w:rsidP="009203D7">
            <w:pPr>
              <w:spacing w:before="0"/>
              <w:rPr>
                <w:rFonts w:cs="Arial"/>
                <w:sz w:val="20"/>
                <w:szCs w:val="20"/>
              </w:rPr>
            </w:pPr>
          </w:p>
        </w:tc>
        <w:tc>
          <w:tcPr>
            <w:tcW w:w="1408" w:type="dxa"/>
            <w:noWrap/>
            <w:hideMark/>
          </w:tcPr>
          <w:p w14:paraId="730CFCF4" w14:textId="77777777" w:rsidR="009203D7" w:rsidRPr="009203D7" w:rsidRDefault="009203D7" w:rsidP="009203D7">
            <w:pPr>
              <w:spacing w:before="0"/>
              <w:rPr>
                <w:rFonts w:cs="Arial"/>
                <w:sz w:val="20"/>
                <w:szCs w:val="20"/>
              </w:rPr>
            </w:pPr>
          </w:p>
        </w:tc>
      </w:tr>
      <w:tr w:rsidR="00D81A60" w:rsidRPr="009203D7" w14:paraId="2221294C" w14:textId="77777777" w:rsidTr="485CA11F">
        <w:trPr>
          <w:trHeight w:val="288"/>
        </w:trPr>
        <w:tc>
          <w:tcPr>
            <w:tcW w:w="5309" w:type="dxa"/>
            <w:noWrap/>
            <w:hideMark/>
          </w:tcPr>
          <w:p w14:paraId="463F82A1" w14:textId="299C9588" w:rsidR="009203D7" w:rsidRPr="009203D7" w:rsidRDefault="009203D7" w:rsidP="00525E8C">
            <w:pPr>
              <w:spacing w:before="0"/>
              <w:jc w:val="left"/>
              <w:rPr>
                <w:rFonts w:cs="Arial"/>
                <w:sz w:val="20"/>
                <w:szCs w:val="20"/>
              </w:rPr>
            </w:pPr>
            <w:r w:rsidRPr="009203D7">
              <w:rPr>
                <w:rFonts w:cs="Arial"/>
                <w:sz w:val="20"/>
                <w:szCs w:val="20"/>
              </w:rPr>
              <w:t>Identify the ways of maintaining current</w:t>
            </w:r>
            <w:r w:rsidR="00525E8C">
              <w:rPr>
                <w:rFonts w:cs="Arial"/>
                <w:sz w:val="20"/>
                <w:szCs w:val="20"/>
              </w:rPr>
              <w:t xml:space="preserve"> </w:t>
            </w:r>
            <w:r w:rsidRPr="009203D7">
              <w:rPr>
                <w:rFonts w:cs="Arial"/>
                <w:sz w:val="20"/>
                <w:szCs w:val="20"/>
              </w:rPr>
              <w:t>competency.</w:t>
            </w:r>
          </w:p>
        </w:tc>
        <w:tc>
          <w:tcPr>
            <w:tcW w:w="1349" w:type="dxa"/>
            <w:noWrap/>
            <w:hideMark/>
          </w:tcPr>
          <w:p w14:paraId="0D832592" w14:textId="77777777" w:rsidR="009203D7" w:rsidRPr="009203D7" w:rsidRDefault="009203D7" w:rsidP="009203D7">
            <w:pPr>
              <w:spacing w:before="0"/>
              <w:rPr>
                <w:rFonts w:cs="Arial"/>
                <w:sz w:val="20"/>
                <w:szCs w:val="20"/>
              </w:rPr>
            </w:pPr>
          </w:p>
        </w:tc>
        <w:tc>
          <w:tcPr>
            <w:tcW w:w="1284" w:type="dxa"/>
            <w:noWrap/>
            <w:hideMark/>
          </w:tcPr>
          <w:p w14:paraId="7B4505A9" w14:textId="77777777" w:rsidR="009203D7" w:rsidRPr="009203D7" w:rsidRDefault="009203D7" w:rsidP="009203D7">
            <w:pPr>
              <w:spacing w:before="0"/>
              <w:rPr>
                <w:rFonts w:cs="Arial"/>
                <w:sz w:val="20"/>
                <w:szCs w:val="20"/>
              </w:rPr>
            </w:pPr>
          </w:p>
        </w:tc>
        <w:tc>
          <w:tcPr>
            <w:tcW w:w="1408" w:type="dxa"/>
            <w:noWrap/>
            <w:hideMark/>
          </w:tcPr>
          <w:p w14:paraId="21F72A5E" w14:textId="77777777" w:rsidR="009203D7" w:rsidRPr="009203D7" w:rsidRDefault="009203D7" w:rsidP="009203D7">
            <w:pPr>
              <w:spacing w:before="0"/>
              <w:rPr>
                <w:rFonts w:cs="Arial"/>
                <w:sz w:val="20"/>
                <w:szCs w:val="20"/>
              </w:rPr>
            </w:pPr>
          </w:p>
        </w:tc>
      </w:tr>
    </w:tbl>
    <w:p w14:paraId="680A4E5D" w14:textId="5B0BEACA" w:rsidR="00BE1EF3" w:rsidRDefault="008D22AF" w:rsidP="00BE1EF3">
      <w:pPr>
        <w:rPr>
          <w:i/>
          <w:iCs/>
          <w:sz w:val="18"/>
          <w:szCs w:val="20"/>
        </w:rPr>
      </w:pPr>
      <w:r w:rsidRPr="00F304F8">
        <w:rPr>
          <w:i/>
          <w:iCs/>
          <w:sz w:val="18"/>
          <w:szCs w:val="20"/>
        </w:rPr>
        <w:t>Adapted from RCN (2021) Guidance</w:t>
      </w:r>
      <w:r w:rsidR="00396B13" w:rsidRPr="00F304F8">
        <w:rPr>
          <w:i/>
          <w:iCs/>
          <w:sz w:val="18"/>
          <w:szCs w:val="20"/>
        </w:rPr>
        <w:t xml:space="preserve"> Document “Administering Subcutaneous Methotrexate for Inflammatory Arthritis”</w:t>
      </w:r>
    </w:p>
    <w:p w14:paraId="5162C5A7" w14:textId="77777777" w:rsidR="00686E52" w:rsidRDefault="00686E52" w:rsidP="00BE1EF3">
      <w:pPr>
        <w:rPr>
          <w:i/>
          <w:iCs/>
          <w:sz w:val="18"/>
          <w:szCs w:val="20"/>
        </w:rPr>
      </w:pPr>
    </w:p>
    <w:p w14:paraId="66456132" w14:textId="77777777" w:rsidR="00686E52" w:rsidRDefault="00686E52" w:rsidP="00BE1EF3">
      <w:pPr>
        <w:rPr>
          <w:i/>
          <w:iCs/>
          <w:sz w:val="18"/>
          <w:szCs w:val="20"/>
        </w:rPr>
      </w:pPr>
    </w:p>
    <w:p w14:paraId="5D4BD9DE" w14:textId="77777777" w:rsidR="00686E52" w:rsidRDefault="00686E52" w:rsidP="00BE1EF3">
      <w:pPr>
        <w:rPr>
          <w:i/>
          <w:iCs/>
          <w:sz w:val="18"/>
          <w:szCs w:val="20"/>
        </w:rPr>
      </w:pPr>
    </w:p>
    <w:p w14:paraId="281717FF" w14:textId="77777777" w:rsidR="00724E04" w:rsidRDefault="00724E04" w:rsidP="00BE1EF3">
      <w:pPr>
        <w:rPr>
          <w:i/>
          <w:iCs/>
          <w:sz w:val="18"/>
          <w:szCs w:val="20"/>
        </w:rPr>
      </w:pPr>
    </w:p>
    <w:p w14:paraId="3CA1619A" w14:textId="77777777" w:rsidR="00724E04" w:rsidRDefault="00724E04" w:rsidP="00BE1EF3">
      <w:pPr>
        <w:rPr>
          <w:i/>
          <w:iCs/>
          <w:sz w:val="18"/>
          <w:szCs w:val="20"/>
        </w:rPr>
      </w:pPr>
    </w:p>
    <w:p w14:paraId="3035BF34" w14:textId="77777777" w:rsidR="00724E04" w:rsidRDefault="00724E04" w:rsidP="00BE1EF3">
      <w:pPr>
        <w:rPr>
          <w:i/>
          <w:iCs/>
          <w:sz w:val="18"/>
          <w:szCs w:val="20"/>
        </w:rPr>
      </w:pPr>
    </w:p>
    <w:p w14:paraId="6E73DCB2" w14:textId="77777777" w:rsidR="00F52834" w:rsidRDefault="00F52834" w:rsidP="00BE1EF3">
      <w:pPr>
        <w:rPr>
          <w:i/>
          <w:iCs/>
          <w:sz w:val="18"/>
          <w:szCs w:val="20"/>
        </w:rPr>
      </w:pPr>
    </w:p>
    <w:p w14:paraId="41E540F9" w14:textId="77777777" w:rsidR="00F52834" w:rsidRDefault="00F52834" w:rsidP="00BE1EF3">
      <w:pPr>
        <w:rPr>
          <w:i/>
          <w:iCs/>
          <w:sz w:val="18"/>
          <w:szCs w:val="20"/>
        </w:rPr>
      </w:pPr>
    </w:p>
    <w:p w14:paraId="2B0EFFD1" w14:textId="77777777" w:rsidR="00F52834" w:rsidRDefault="00F52834" w:rsidP="00BE1EF3">
      <w:pPr>
        <w:rPr>
          <w:i/>
          <w:iCs/>
          <w:sz w:val="18"/>
          <w:szCs w:val="20"/>
        </w:rPr>
      </w:pPr>
    </w:p>
    <w:p w14:paraId="2B1401B4" w14:textId="77777777" w:rsidR="00F52834" w:rsidRDefault="00F52834" w:rsidP="00BE1EF3">
      <w:pPr>
        <w:rPr>
          <w:i/>
          <w:iCs/>
          <w:sz w:val="18"/>
          <w:szCs w:val="20"/>
        </w:rPr>
      </w:pPr>
    </w:p>
    <w:p w14:paraId="0BC61C25" w14:textId="77777777" w:rsidR="00724E04" w:rsidRDefault="00724E04" w:rsidP="00BE1EF3">
      <w:pPr>
        <w:rPr>
          <w:i/>
          <w:iCs/>
          <w:sz w:val="18"/>
          <w:szCs w:val="20"/>
        </w:rPr>
      </w:pPr>
    </w:p>
    <w:p w14:paraId="49F48273" w14:textId="77777777" w:rsidR="00724E04" w:rsidRDefault="00724E04" w:rsidP="00BE1EF3">
      <w:pPr>
        <w:rPr>
          <w:i/>
          <w:iCs/>
          <w:sz w:val="18"/>
          <w:szCs w:val="20"/>
        </w:rPr>
      </w:pPr>
    </w:p>
    <w:p w14:paraId="1F9112D5" w14:textId="728A4EC1" w:rsidR="00724E04" w:rsidRDefault="00724E04" w:rsidP="00AC5692">
      <w:pPr>
        <w:pStyle w:val="Heading1"/>
      </w:pPr>
      <w:bookmarkStart w:id="10" w:name="_Appendix_2._"/>
      <w:bookmarkStart w:id="11" w:name="_Toc184886555"/>
      <w:bookmarkEnd w:id="10"/>
      <w:r>
        <w:lastRenderedPageBreak/>
        <w:t>A</w:t>
      </w:r>
      <w:r w:rsidR="00AC5692">
        <w:t>ppendix 2.  Subcutaneous Methotrexate Administration Checklist</w:t>
      </w:r>
      <w:bookmarkEnd w:id="11"/>
    </w:p>
    <w:tbl>
      <w:tblPr>
        <w:tblStyle w:val="TableGrid0"/>
        <w:tblW w:w="9018" w:type="dxa"/>
        <w:tblInd w:w="5" w:type="dxa"/>
        <w:tblCellMar>
          <w:top w:w="9" w:type="dxa"/>
          <w:left w:w="108" w:type="dxa"/>
          <w:right w:w="115" w:type="dxa"/>
        </w:tblCellMar>
        <w:tblLook w:val="04A0" w:firstRow="1" w:lastRow="0" w:firstColumn="1" w:lastColumn="0" w:noHBand="0" w:noVBand="1"/>
      </w:tblPr>
      <w:tblGrid>
        <w:gridCol w:w="4508"/>
        <w:gridCol w:w="2191"/>
        <w:gridCol w:w="2319"/>
      </w:tblGrid>
      <w:tr w:rsidR="004C19B1" w14:paraId="59F8B768" w14:textId="77777777" w:rsidTr="00D65820">
        <w:trPr>
          <w:trHeight w:val="924"/>
        </w:trPr>
        <w:tc>
          <w:tcPr>
            <w:tcW w:w="6699" w:type="dxa"/>
            <w:gridSpan w:val="2"/>
            <w:tcBorders>
              <w:top w:val="single" w:sz="4" w:space="0" w:color="000000"/>
              <w:left w:val="single" w:sz="4" w:space="0" w:color="000000"/>
              <w:bottom w:val="single" w:sz="4" w:space="0" w:color="000000"/>
              <w:right w:val="single" w:sz="4" w:space="0" w:color="000000"/>
            </w:tcBorders>
          </w:tcPr>
          <w:p w14:paraId="663C1965" w14:textId="785C7473" w:rsidR="004C19B1" w:rsidRPr="002A7744" w:rsidRDefault="004C19B1" w:rsidP="00D65820">
            <w:pPr>
              <w:spacing w:before="0"/>
              <w:rPr>
                <w:b/>
                <w:sz w:val="20"/>
                <w:szCs w:val="22"/>
              </w:rPr>
            </w:pPr>
            <w:r w:rsidRPr="002A7744">
              <w:rPr>
                <w:rFonts w:eastAsia="Arial" w:cs="Arial"/>
                <w:b/>
                <w:sz w:val="20"/>
                <w:szCs w:val="22"/>
              </w:rPr>
              <w:t xml:space="preserve">Patient name:……………………………………………………. </w:t>
            </w:r>
          </w:p>
          <w:p w14:paraId="66837E23" w14:textId="2004C2A6" w:rsidR="004C19B1" w:rsidRPr="002A7744" w:rsidRDefault="004C19B1" w:rsidP="00D65820">
            <w:pPr>
              <w:spacing w:before="0"/>
              <w:rPr>
                <w:b/>
                <w:sz w:val="20"/>
                <w:szCs w:val="22"/>
              </w:rPr>
            </w:pPr>
            <w:r w:rsidRPr="002A7744">
              <w:rPr>
                <w:rFonts w:eastAsia="Arial" w:cs="Arial"/>
                <w:b/>
                <w:sz w:val="20"/>
                <w:szCs w:val="22"/>
              </w:rPr>
              <w:t xml:space="preserve">D.O.B:…………………………………………………………….. </w:t>
            </w:r>
          </w:p>
          <w:p w14:paraId="35B3864D" w14:textId="26CA1806" w:rsidR="004C19B1" w:rsidRPr="002A7744" w:rsidRDefault="00CE44EB" w:rsidP="00D65820">
            <w:pPr>
              <w:spacing w:before="0"/>
              <w:rPr>
                <w:b/>
                <w:sz w:val="20"/>
                <w:szCs w:val="22"/>
              </w:rPr>
            </w:pPr>
            <w:r>
              <w:rPr>
                <w:rFonts w:eastAsia="Arial" w:cs="Arial"/>
                <w:b/>
                <w:sz w:val="20"/>
                <w:szCs w:val="22"/>
              </w:rPr>
              <w:t>EMIS</w:t>
            </w:r>
            <w:r w:rsidR="004C19B1" w:rsidRPr="002A7744">
              <w:rPr>
                <w:rFonts w:eastAsia="Arial" w:cs="Arial"/>
                <w:b/>
                <w:sz w:val="20"/>
                <w:szCs w:val="22"/>
              </w:rPr>
              <w:t xml:space="preserve">:………………………………………………………………  </w:t>
            </w:r>
          </w:p>
          <w:p w14:paraId="3B54FB82" w14:textId="590E7A65" w:rsidR="004C19B1" w:rsidRPr="002A7744" w:rsidRDefault="004C19B1" w:rsidP="00D65820">
            <w:pPr>
              <w:spacing w:before="0"/>
              <w:rPr>
                <w:b/>
                <w:sz w:val="20"/>
                <w:szCs w:val="22"/>
              </w:rPr>
            </w:pPr>
            <w:r w:rsidRPr="002A7744">
              <w:rPr>
                <w:rFonts w:eastAsia="Arial" w:cs="Arial"/>
                <w:b/>
                <w:sz w:val="20"/>
                <w:szCs w:val="22"/>
              </w:rPr>
              <w:t xml:space="preserve">Or affix patient label </w:t>
            </w:r>
          </w:p>
        </w:tc>
        <w:tc>
          <w:tcPr>
            <w:tcW w:w="2319" w:type="dxa"/>
            <w:tcBorders>
              <w:top w:val="single" w:sz="4" w:space="0" w:color="000000"/>
              <w:left w:val="single" w:sz="4" w:space="0" w:color="000000"/>
              <w:bottom w:val="single" w:sz="4" w:space="0" w:color="000000"/>
              <w:right w:val="single" w:sz="4" w:space="0" w:color="000000"/>
            </w:tcBorders>
          </w:tcPr>
          <w:p w14:paraId="464180D8" w14:textId="77777777" w:rsidR="004C19B1" w:rsidRPr="002A7744" w:rsidRDefault="004C19B1" w:rsidP="004C19B1">
            <w:pPr>
              <w:rPr>
                <w:b/>
                <w:sz w:val="20"/>
                <w:szCs w:val="22"/>
              </w:rPr>
            </w:pPr>
            <w:r w:rsidRPr="002A7744">
              <w:rPr>
                <w:b/>
                <w:sz w:val="20"/>
                <w:szCs w:val="22"/>
              </w:rPr>
              <w:t xml:space="preserve"> </w:t>
            </w:r>
            <w:r w:rsidRPr="002A7744">
              <w:rPr>
                <w:rFonts w:eastAsia="Arial" w:cs="Arial"/>
                <w:b/>
                <w:sz w:val="20"/>
                <w:szCs w:val="22"/>
              </w:rPr>
              <w:t xml:space="preserve">Sheet Number: </w:t>
            </w:r>
          </w:p>
        </w:tc>
      </w:tr>
      <w:tr w:rsidR="00536B29" w14:paraId="06928492" w14:textId="77777777" w:rsidTr="005C4613">
        <w:tblPrEx>
          <w:tblCellMar>
            <w:top w:w="7" w:type="dxa"/>
            <w:right w:w="47" w:type="dxa"/>
          </w:tblCellMar>
        </w:tblPrEx>
        <w:trPr>
          <w:trHeight w:val="701"/>
        </w:trPr>
        <w:tc>
          <w:tcPr>
            <w:tcW w:w="4508" w:type="dxa"/>
            <w:tcBorders>
              <w:top w:val="single" w:sz="4" w:space="0" w:color="000000"/>
              <w:left w:val="single" w:sz="4" w:space="0" w:color="000000"/>
              <w:bottom w:val="single" w:sz="4" w:space="0" w:color="000000"/>
              <w:right w:val="single" w:sz="4" w:space="0" w:color="000000"/>
            </w:tcBorders>
          </w:tcPr>
          <w:p w14:paraId="44BDCF1F" w14:textId="42CBD5F8" w:rsidR="00536B29" w:rsidRPr="002A7744" w:rsidRDefault="00536B29" w:rsidP="005C4613">
            <w:pPr>
              <w:spacing w:before="0"/>
              <w:jc w:val="center"/>
              <w:rPr>
                <w:b/>
                <w:bCs/>
                <w:sz w:val="20"/>
                <w:szCs w:val="22"/>
              </w:rPr>
            </w:pPr>
            <w:r w:rsidRPr="002A7744">
              <w:rPr>
                <w:rFonts w:eastAsia="Arial"/>
                <w:b/>
                <w:bCs/>
                <w:sz w:val="20"/>
                <w:szCs w:val="22"/>
              </w:rPr>
              <w:t>Has a competency-based</w:t>
            </w:r>
            <w:r w:rsidR="00FB4A6B" w:rsidRPr="002A7744">
              <w:rPr>
                <w:rFonts w:eastAsia="Arial"/>
                <w:b/>
                <w:bCs/>
                <w:sz w:val="20"/>
                <w:szCs w:val="22"/>
              </w:rPr>
              <w:t xml:space="preserve"> </w:t>
            </w:r>
            <w:r w:rsidRPr="002A7744">
              <w:rPr>
                <w:rFonts w:eastAsia="Arial"/>
                <w:b/>
                <w:bCs/>
                <w:sz w:val="20"/>
                <w:szCs w:val="22"/>
              </w:rPr>
              <w:t>education/training programme been undertaken by the patient/carer/parent?</w:t>
            </w:r>
          </w:p>
          <w:p w14:paraId="78BD1F29" w14:textId="61F39DDD" w:rsidR="00536B29" w:rsidRPr="002A7744" w:rsidRDefault="00536B29" w:rsidP="005C4613">
            <w:pPr>
              <w:spacing w:before="0"/>
              <w:jc w:val="center"/>
              <w:rPr>
                <w:sz w:val="20"/>
                <w:szCs w:val="22"/>
              </w:rPr>
            </w:pPr>
            <w:r w:rsidRPr="002A7744">
              <w:rPr>
                <w:sz w:val="20"/>
                <w:szCs w:val="22"/>
              </w:rPr>
              <w:t>Yes / No (delete as applicable)</w:t>
            </w:r>
          </w:p>
        </w:tc>
        <w:tc>
          <w:tcPr>
            <w:tcW w:w="4510" w:type="dxa"/>
            <w:gridSpan w:val="2"/>
            <w:tcBorders>
              <w:top w:val="single" w:sz="4" w:space="0" w:color="000000"/>
              <w:left w:val="single" w:sz="4" w:space="0" w:color="000000"/>
              <w:bottom w:val="single" w:sz="4" w:space="0" w:color="000000"/>
              <w:right w:val="single" w:sz="4" w:space="0" w:color="000000"/>
            </w:tcBorders>
          </w:tcPr>
          <w:p w14:paraId="5B36F943" w14:textId="08CB5A41" w:rsidR="00FB4A6B" w:rsidRPr="002A7744" w:rsidRDefault="00536B29" w:rsidP="005C4613">
            <w:pPr>
              <w:spacing w:before="0"/>
              <w:jc w:val="center"/>
              <w:rPr>
                <w:rFonts w:eastAsia="Arial"/>
                <w:sz w:val="20"/>
                <w:szCs w:val="22"/>
              </w:rPr>
            </w:pPr>
            <w:r w:rsidRPr="002A7744">
              <w:rPr>
                <w:rFonts w:eastAsia="Arial"/>
                <w:b/>
                <w:bCs/>
                <w:sz w:val="20"/>
                <w:szCs w:val="22"/>
              </w:rPr>
              <w:t>Is a copy of the education programme available in the patient’s records?</w:t>
            </w:r>
          </w:p>
          <w:p w14:paraId="0A614EB3" w14:textId="3D08F99F" w:rsidR="00536B29" w:rsidRPr="002A7744" w:rsidRDefault="00536B29" w:rsidP="005C4613">
            <w:pPr>
              <w:spacing w:before="0"/>
              <w:jc w:val="center"/>
              <w:rPr>
                <w:sz w:val="20"/>
                <w:szCs w:val="22"/>
              </w:rPr>
            </w:pPr>
            <w:r w:rsidRPr="002A7744">
              <w:rPr>
                <w:sz w:val="20"/>
                <w:szCs w:val="22"/>
              </w:rPr>
              <w:t>Yes / No (delete as applicable)</w:t>
            </w:r>
          </w:p>
          <w:p w14:paraId="5214E498" w14:textId="1C5D0AA0" w:rsidR="00536B29" w:rsidRPr="002A7744" w:rsidRDefault="00536B29" w:rsidP="005C4613">
            <w:pPr>
              <w:spacing w:before="0"/>
              <w:jc w:val="center"/>
              <w:rPr>
                <w:sz w:val="20"/>
                <w:szCs w:val="22"/>
              </w:rPr>
            </w:pPr>
            <w:r w:rsidRPr="002A7744">
              <w:rPr>
                <w:sz w:val="20"/>
                <w:szCs w:val="22"/>
              </w:rPr>
              <w:t>If ‘No’ request this from the referrer</w:t>
            </w:r>
          </w:p>
        </w:tc>
      </w:tr>
      <w:tr w:rsidR="00536B29" w14:paraId="08157094" w14:textId="77777777" w:rsidTr="005C4613">
        <w:tblPrEx>
          <w:tblCellMar>
            <w:top w:w="7" w:type="dxa"/>
            <w:right w:w="47" w:type="dxa"/>
          </w:tblCellMar>
        </w:tblPrEx>
        <w:trPr>
          <w:trHeight w:val="477"/>
        </w:trPr>
        <w:tc>
          <w:tcPr>
            <w:tcW w:w="4508" w:type="dxa"/>
            <w:tcBorders>
              <w:top w:val="single" w:sz="4" w:space="0" w:color="000000"/>
              <w:left w:val="single" w:sz="4" w:space="0" w:color="000000"/>
              <w:bottom w:val="single" w:sz="4" w:space="0" w:color="000000"/>
              <w:right w:val="single" w:sz="4" w:space="0" w:color="000000"/>
            </w:tcBorders>
          </w:tcPr>
          <w:p w14:paraId="3DF4975A" w14:textId="15B67AAD" w:rsidR="00536B29" w:rsidRPr="002A7744" w:rsidRDefault="00536B29" w:rsidP="005C4613">
            <w:pPr>
              <w:spacing w:before="0"/>
              <w:jc w:val="center"/>
              <w:rPr>
                <w:b/>
                <w:bCs/>
                <w:sz w:val="20"/>
                <w:szCs w:val="22"/>
              </w:rPr>
            </w:pPr>
            <w:r w:rsidRPr="002A7744">
              <w:rPr>
                <w:rFonts w:eastAsia="Arial"/>
                <w:b/>
                <w:bCs/>
                <w:sz w:val="20"/>
                <w:szCs w:val="22"/>
              </w:rPr>
              <w:t>Who delivered this programme?</w:t>
            </w:r>
          </w:p>
          <w:p w14:paraId="3C8F16DE" w14:textId="756CCD3E" w:rsidR="00536B29" w:rsidRPr="002A7744" w:rsidRDefault="00536B29" w:rsidP="005C4613">
            <w:pPr>
              <w:spacing w:before="0"/>
              <w:jc w:val="left"/>
              <w:rPr>
                <w:b/>
                <w:bCs/>
                <w:sz w:val="20"/>
                <w:szCs w:val="22"/>
              </w:rPr>
            </w:pPr>
            <w:r w:rsidRPr="002A7744">
              <w:rPr>
                <w:b/>
                <w:bCs/>
                <w:sz w:val="20"/>
                <w:szCs w:val="22"/>
              </w:rPr>
              <w:t xml:space="preserve"> </w:t>
            </w:r>
          </w:p>
        </w:tc>
        <w:tc>
          <w:tcPr>
            <w:tcW w:w="4510" w:type="dxa"/>
            <w:gridSpan w:val="2"/>
            <w:tcBorders>
              <w:top w:val="single" w:sz="4" w:space="0" w:color="000000"/>
              <w:left w:val="single" w:sz="4" w:space="0" w:color="000000"/>
              <w:bottom w:val="single" w:sz="4" w:space="0" w:color="000000"/>
              <w:right w:val="single" w:sz="4" w:space="0" w:color="000000"/>
            </w:tcBorders>
          </w:tcPr>
          <w:p w14:paraId="586D0E66" w14:textId="404A988E" w:rsidR="00536B29" w:rsidRPr="002A7744" w:rsidRDefault="00536B29" w:rsidP="005C4613">
            <w:pPr>
              <w:spacing w:before="0"/>
              <w:jc w:val="center"/>
              <w:rPr>
                <w:b/>
                <w:bCs/>
                <w:sz w:val="20"/>
                <w:szCs w:val="22"/>
              </w:rPr>
            </w:pPr>
            <w:r w:rsidRPr="002A7744">
              <w:rPr>
                <w:rFonts w:eastAsia="Arial"/>
                <w:b/>
                <w:bCs/>
                <w:sz w:val="20"/>
                <w:szCs w:val="22"/>
              </w:rPr>
              <w:t>Date programme completed:</w:t>
            </w:r>
          </w:p>
          <w:p w14:paraId="6ACE5165" w14:textId="77777777" w:rsidR="00536B29" w:rsidRPr="002A7744" w:rsidRDefault="00536B29" w:rsidP="005C4613">
            <w:pPr>
              <w:spacing w:before="0"/>
              <w:jc w:val="left"/>
              <w:rPr>
                <w:b/>
                <w:bCs/>
                <w:sz w:val="20"/>
                <w:szCs w:val="22"/>
              </w:rPr>
            </w:pPr>
            <w:r w:rsidRPr="002A7744">
              <w:rPr>
                <w:b/>
                <w:bCs/>
                <w:sz w:val="20"/>
                <w:szCs w:val="22"/>
              </w:rPr>
              <w:t xml:space="preserve"> </w:t>
            </w:r>
          </w:p>
        </w:tc>
      </w:tr>
    </w:tbl>
    <w:p w14:paraId="44E29A2B" w14:textId="0F4788B6" w:rsidR="00536B29" w:rsidRPr="00EE362D" w:rsidRDefault="00E57124" w:rsidP="00672B7E">
      <w:pPr>
        <w:jc w:val="center"/>
        <w:rPr>
          <w:sz w:val="18"/>
          <w:szCs w:val="20"/>
        </w:rPr>
      </w:pPr>
      <w:r>
        <w:rPr>
          <w:sz w:val="18"/>
          <w:szCs w:val="20"/>
        </w:rPr>
        <w:t xml:space="preserve">Please Note: </w:t>
      </w:r>
      <w:r w:rsidR="00190FAB" w:rsidRPr="00190FAB">
        <w:rPr>
          <w:sz w:val="18"/>
          <w:szCs w:val="20"/>
        </w:rPr>
        <w:t xml:space="preserve">If no educational/training programme has been undertaken, the patient </w:t>
      </w:r>
      <w:r w:rsidR="00190FAB" w:rsidRPr="00F14BDF">
        <w:rPr>
          <w:b/>
          <w:bCs/>
          <w:sz w:val="18"/>
          <w:szCs w:val="20"/>
        </w:rPr>
        <w:t>must</w:t>
      </w:r>
      <w:r w:rsidR="00190FAB" w:rsidRPr="00190FAB">
        <w:rPr>
          <w:sz w:val="18"/>
          <w:szCs w:val="20"/>
        </w:rPr>
        <w:t xml:space="preserve"> be referred back to the referrer for this to happen.  </w:t>
      </w:r>
      <w:r w:rsidR="00190FAB" w:rsidRPr="00F14BDF">
        <w:rPr>
          <w:b/>
          <w:bCs/>
          <w:sz w:val="18"/>
          <w:szCs w:val="20"/>
        </w:rPr>
        <w:t>It is not the responsibility of FNHC Nurses to deliver this training programme</w:t>
      </w:r>
    </w:p>
    <w:tbl>
      <w:tblPr>
        <w:tblStyle w:val="TableGrid0"/>
        <w:tblW w:w="10036" w:type="dxa"/>
        <w:jc w:val="center"/>
        <w:tblInd w:w="0" w:type="dxa"/>
        <w:tblCellMar>
          <w:top w:w="9" w:type="dxa"/>
          <w:left w:w="108" w:type="dxa"/>
        </w:tblCellMar>
        <w:tblLook w:val="04A0" w:firstRow="1" w:lastRow="0" w:firstColumn="1" w:lastColumn="0" w:noHBand="0" w:noVBand="1"/>
      </w:tblPr>
      <w:tblGrid>
        <w:gridCol w:w="4928"/>
        <w:gridCol w:w="511"/>
        <w:gridCol w:w="512"/>
        <w:gridCol w:w="510"/>
        <w:gridCol w:w="510"/>
        <w:gridCol w:w="511"/>
        <w:gridCol w:w="512"/>
        <w:gridCol w:w="510"/>
        <w:gridCol w:w="510"/>
        <w:gridCol w:w="511"/>
        <w:gridCol w:w="511"/>
      </w:tblGrid>
      <w:tr w:rsidR="00140541" w:rsidRPr="00EB6016" w14:paraId="10BC2214" w14:textId="77777777" w:rsidTr="0005094A">
        <w:trPr>
          <w:cantSplit/>
          <w:trHeight w:val="1134"/>
          <w:tblHeader/>
          <w:jc w:val="center"/>
        </w:trPr>
        <w:tc>
          <w:tcPr>
            <w:tcW w:w="4928" w:type="dxa"/>
            <w:tcBorders>
              <w:top w:val="single" w:sz="4" w:space="0" w:color="000000"/>
              <w:left w:val="single" w:sz="4" w:space="0" w:color="000000"/>
              <w:bottom w:val="single" w:sz="4" w:space="0" w:color="000000"/>
              <w:right w:val="single" w:sz="4" w:space="0" w:color="000000"/>
            </w:tcBorders>
            <w:vAlign w:val="center"/>
          </w:tcPr>
          <w:p w14:paraId="68579C06" w14:textId="13B11ECB" w:rsidR="00140541" w:rsidRPr="002E083F" w:rsidRDefault="00104D2C" w:rsidP="00EE362D">
            <w:pPr>
              <w:spacing w:before="0" w:line="259" w:lineRule="auto"/>
              <w:jc w:val="center"/>
              <w:rPr>
                <w:b/>
                <w:bCs/>
                <w:sz w:val="20"/>
                <w:szCs w:val="22"/>
              </w:rPr>
            </w:pPr>
            <w:r w:rsidRPr="00F31BDA">
              <w:rPr>
                <w:color w:val="C00000"/>
                <w:sz w:val="18"/>
                <w:szCs w:val="20"/>
              </w:rPr>
              <w:t>*If the answer to any of the following questions is ‘No’, DO NOT ADMINISTER methotrexate – seek medical advice *</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extDirection w:val="btLr"/>
            <w:vAlign w:val="center"/>
          </w:tcPr>
          <w:p w14:paraId="2AFE7D6A" w14:textId="0C225882" w:rsidR="00140541" w:rsidRPr="002E083F" w:rsidRDefault="00140541" w:rsidP="00A43A26">
            <w:pPr>
              <w:spacing w:before="0" w:line="259" w:lineRule="auto"/>
              <w:ind w:left="113" w:right="113"/>
              <w:jc w:val="center"/>
              <w:rPr>
                <w:b/>
                <w:bCs/>
                <w:sz w:val="20"/>
                <w:szCs w:val="22"/>
              </w:rPr>
            </w:pPr>
            <w:r w:rsidRPr="002E083F">
              <w:rPr>
                <w:b/>
                <w:bCs/>
                <w:sz w:val="20"/>
                <w:szCs w:val="22"/>
              </w:rPr>
              <w:t>Yes / No</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extDirection w:val="btLr"/>
            <w:vAlign w:val="center"/>
          </w:tcPr>
          <w:p w14:paraId="2E46AE8B" w14:textId="4B5AEC54" w:rsidR="00140541" w:rsidRPr="002E083F" w:rsidRDefault="00140541" w:rsidP="00A43A26">
            <w:pPr>
              <w:spacing w:before="0" w:line="259" w:lineRule="auto"/>
              <w:ind w:left="113" w:right="108"/>
              <w:jc w:val="center"/>
              <w:rPr>
                <w:b/>
                <w:bCs/>
                <w:sz w:val="20"/>
                <w:szCs w:val="22"/>
              </w:rPr>
            </w:pPr>
            <w:r w:rsidRPr="002E083F">
              <w:rPr>
                <w:rFonts w:eastAsia="Arial" w:cs="Arial"/>
                <w:b/>
                <w:bCs/>
                <w:sz w:val="20"/>
                <w:szCs w:val="22"/>
              </w:rPr>
              <w:t>Date</w:t>
            </w:r>
          </w:p>
          <w:p w14:paraId="04098067" w14:textId="4B1CCD58" w:rsidR="00140541" w:rsidRPr="002E083F" w:rsidRDefault="00140541" w:rsidP="00A43A26">
            <w:pPr>
              <w:spacing w:before="0" w:line="259" w:lineRule="auto"/>
              <w:ind w:left="113" w:right="113"/>
              <w:jc w:val="center"/>
              <w:rPr>
                <w:b/>
                <w:bCs/>
                <w:sz w:val="20"/>
                <w:szCs w:val="22"/>
              </w:rPr>
            </w:pPr>
          </w:p>
        </w:tc>
        <w:tc>
          <w:tcPr>
            <w:tcW w:w="510" w:type="dxa"/>
            <w:tcBorders>
              <w:top w:val="single" w:sz="4" w:space="0" w:color="000000"/>
              <w:left w:val="single" w:sz="4" w:space="0" w:color="000000"/>
              <w:bottom w:val="single" w:sz="4" w:space="0" w:color="000000"/>
              <w:right w:val="single" w:sz="4" w:space="0" w:color="000000"/>
            </w:tcBorders>
            <w:textDirection w:val="btLr"/>
            <w:vAlign w:val="center"/>
          </w:tcPr>
          <w:p w14:paraId="49974648" w14:textId="0B8CCC89" w:rsidR="00140541" w:rsidRPr="00EB6016" w:rsidRDefault="00140541" w:rsidP="00A43A26">
            <w:pPr>
              <w:spacing w:before="0" w:line="259" w:lineRule="auto"/>
              <w:jc w:val="center"/>
              <w:rPr>
                <w:sz w:val="20"/>
                <w:szCs w:val="22"/>
              </w:rPr>
            </w:pPr>
            <w:r w:rsidRPr="002E083F">
              <w:rPr>
                <w:b/>
                <w:bCs/>
                <w:sz w:val="20"/>
                <w:szCs w:val="22"/>
              </w:rPr>
              <w:t>Yes / No</w:t>
            </w:r>
          </w:p>
        </w:tc>
        <w:tc>
          <w:tcPr>
            <w:tcW w:w="510" w:type="dxa"/>
            <w:tcBorders>
              <w:top w:val="single" w:sz="4" w:space="0" w:color="000000"/>
              <w:left w:val="single" w:sz="4" w:space="0" w:color="000000"/>
              <w:bottom w:val="single" w:sz="4" w:space="0" w:color="000000"/>
              <w:right w:val="single" w:sz="4" w:space="0" w:color="000000"/>
            </w:tcBorders>
            <w:textDirection w:val="btLr"/>
            <w:vAlign w:val="center"/>
          </w:tcPr>
          <w:p w14:paraId="338F633C" w14:textId="77777777" w:rsidR="00140541" w:rsidRPr="002E083F" w:rsidRDefault="00140541" w:rsidP="00A43A26">
            <w:pPr>
              <w:spacing w:before="0" w:line="259" w:lineRule="auto"/>
              <w:ind w:left="113" w:right="108"/>
              <w:jc w:val="center"/>
              <w:rPr>
                <w:b/>
                <w:bCs/>
                <w:sz w:val="20"/>
                <w:szCs w:val="22"/>
              </w:rPr>
            </w:pPr>
            <w:r w:rsidRPr="002E083F">
              <w:rPr>
                <w:rFonts w:eastAsia="Arial" w:cs="Arial"/>
                <w:b/>
                <w:bCs/>
                <w:sz w:val="20"/>
                <w:szCs w:val="22"/>
              </w:rPr>
              <w:t>Date</w:t>
            </w:r>
          </w:p>
          <w:p w14:paraId="7B8FAA4F" w14:textId="593E6436" w:rsidR="00140541" w:rsidRPr="00EB6016" w:rsidRDefault="00140541" w:rsidP="00A43A26">
            <w:pPr>
              <w:spacing w:before="0" w:line="259" w:lineRule="auto"/>
              <w:jc w:val="center"/>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extDirection w:val="btLr"/>
            <w:vAlign w:val="center"/>
          </w:tcPr>
          <w:p w14:paraId="32093DB9" w14:textId="145EA426" w:rsidR="00140541" w:rsidRPr="00EB6016" w:rsidRDefault="00140541" w:rsidP="00A43A26">
            <w:pPr>
              <w:spacing w:before="0" w:line="259" w:lineRule="auto"/>
              <w:jc w:val="center"/>
              <w:rPr>
                <w:sz w:val="20"/>
                <w:szCs w:val="22"/>
              </w:rPr>
            </w:pPr>
            <w:r w:rsidRPr="002E083F">
              <w:rPr>
                <w:b/>
                <w:bCs/>
                <w:sz w:val="20"/>
                <w:szCs w:val="22"/>
              </w:rPr>
              <w:t>Yes / No</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extDirection w:val="btLr"/>
            <w:vAlign w:val="center"/>
          </w:tcPr>
          <w:p w14:paraId="0DCBF623" w14:textId="77777777" w:rsidR="00140541" w:rsidRPr="002E083F" w:rsidRDefault="00140541" w:rsidP="00A43A26">
            <w:pPr>
              <w:spacing w:before="0" w:line="259" w:lineRule="auto"/>
              <w:ind w:left="113" w:right="108"/>
              <w:jc w:val="center"/>
              <w:rPr>
                <w:b/>
                <w:bCs/>
                <w:sz w:val="20"/>
                <w:szCs w:val="22"/>
              </w:rPr>
            </w:pPr>
            <w:r w:rsidRPr="002E083F">
              <w:rPr>
                <w:rFonts w:eastAsia="Arial" w:cs="Arial"/>
                <w:b/>
                <w:bCs/>
                <w:sz w:val="20"/>
                <w:szCs w:val="22"/>
              </w:rPr>
              <w:t>Date</w:t>
            </w:r>
          </w:p>
          <w:p w14:paraId="5185900F" w14:textId="119591DB" w:rsidR="00140541" w:rsidRPr="00EB6016" w:rsidRDefault="00140541" w:rsidP="00A43A26">
            <w:pPr>
              <w:spacing w:before="0" w:line="259" w:lineRule="auto"/>
              <w:jc w:val="center"/>
              <w:rPr>
                <w:sz w:val="20"/>
                <w:szCs w:val="22"/>
              </w:rPr>
            </w:pPr>
          </w:p>
        </w:tc>
        <w:tc>
          <w:tcPr>
            <w:tcW w:w="510" w:type="dxa"/>
            <w:tcBorders>
              <w:top w:val="single" w:sz="4" w:space="0" w:color="000000"/>
              <w:left w:val="single" w:sz="4" w:space="0" w:color="000000"/>
              <w:bottom w:val="single" w:sz="4" w:space="0" w:color="000000"/>
              <w:right w:val="single" w:sz="4" w:space="0" w:color="000000"/>
            </w:tcBorders>
            <w:textDirection w:val="btLr"/>
            <w:vAlign w:val="center"/>
          </w:tcPr>
          <w:p w14:paraId="2542FA9F" w14:textId="26B12F09" w:rsidR="00140541" w:rsidRPr="00EB6016" w:rsidRDefault="00140541" w:rsidP="00A43A26">
            <w:pPr>
              <w:spacing w:before="0" w:line="259" w:lineRule="auto"/>
              <w:jc w:val="center"/>
              <w:rPr>
                <w:sz w:val="20"/>
                <w:szCs w:val="22"/>
              </w:rPr>
            </w:pPr>
            <w:r w:rsidRPr="002E083F">
              <w:rPr>
                <w:b/>
                <w:bCs/>
                <w:sz w:val="20"/>
                <w:szCs w:val="22"/>
              </w:rPr>
              <w:t>Yes / No</w:t>
            </w:r>
          </w:p>
        </w:tc>
        <w:tc>
          <w:tcPr>
            <w:tcW w:w="510" w:type="dxa"/>
            <w:tcBorders>
              <w:top w:val="single" w:sz="4" w:space="0" w:color="000000"/>
              <w:left w:val="single" w:sz="4" w:space="0" w:color="000000"/>
              <w:bottom w:val="single" w:sz="4" w:space="0" w:color="000000"/>
              <w:right w:val="single" w:sz="4" w:space="0" w:color="000000"/>
            </w:tcBorders>
            <w:textDirection w:val="btLr"/>
            <w:vAlign w:val="center"/>
          </w:tcPr>
          <w:p w14:paraId="766624EA" w14:textId="77777777" w:rsidR="00140541" w:rsidRPr="002E083F" w:rsidRDefault="00140541" w:rsidP="00A43A26">
            <w:pPr>
              <w:spacing w:before="0" w:line="259" w:lineRule="auto"/>
              <w:ind w:left="113" w:right="108"/>
              <w:jc w:val="center"/>
              <w:rPr>
                <w:b/>
                <w:bCs/>
                <w:sz w:val="20"/>
                <w:szCs w:val="22"/>
              </w:rPr>
            </w:pPr>
            <w:r w:rsidRPr="002E083F">
              <w:rPr>
                <w:rFonts w:eastAsia="Arial" w:cs="Arial"/>
                <w:b/>
                <w:bCs/>
                <w:sz w:val="20"/>
                <w:szCs w:val="22"/>
              </w:rPr>
              <w:t>Date</w:t>
            </w:r>
          </w:p>
          <w:p w14:paraId="0BF476EE" w14:textId="132FA112" w:rsidR="00140541" w:rsidRPr="00EB6016" w:rsidRDefault="00140541" w:rsidP="00A43A26">
            <w:pPr>
              <w:spacing w:before="0" w:line="259" w:lineRule="auto"/>
              <w:jc w:val="center"/>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extDirection w:val="btLr"/>
            <w:vAlign w:val="center"/>
          </w:tcPr>
          <w:p w14:paraId="0A32A9B0" w14:textId="03BA3E31" w:rsidR="00140541" w:rsidRPr="00EB6016" w:rsidRDefault="00140541" w:rsidP="00A43A26">
            <w:pPr>
              <w:spacing w:before="0" w:line="259" w:lineRule="auto"/>
              <w:jc w:val="center"/>
              <w:rPr>
                <w:sz w:val="20"/>
                <w:szCs w:val="22"/>
              </w:rPr>
            </w:pPr>
            <w:r w:rsidRPr="002E083F">
              <w:rPr>
                <w:b/>
                <w:bCs/>
                <w:sz w:val="20"/>
                <w:szCs w:val="22"/>
              </w:rPr>
              <w:t>Yes / No</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extDirection w:val="btLr"/>
            <w:vAlign w:val="center"/>
          </w:tcPr>
          <w:p w14:paraId="1AF0A25D" w14:textId="77777777" w:rsidR="00140541" w:rsidRPr="002E083F" w:rsidRDefault="00140541" w:rsidP="00A43A26">
            <w:pPr>
              <w:spacing w:before="0" w:line="259" w:lineRule="auto"/>
              <w:ind w:left="113" w:right="108"/>
              <w:jc w:val="center"/>
              <w:rPr>
                <w:b/>
                <w:bCs/>
                <w:sz w:val="20"/>
                <w:szCs w:val="22"/>
              </w:rPr>
            </w:pPr>
            <w:r w:rsidRPr="002E083F">
              <w:rPr>
                <w:rFonts w:eastAsia="Arial" w:cs="Arial"/>
                <w:b/>
                <w:bCs/>
                <w:sz w:val="20"/>
                <w:szCs w:val="22"/>
              </w:rPr>
              <w:t>Date</w:t>
            </w:r>
          </w:p>
          <w:p w14:paraId="3C833605" w14:textId="3B5A170A" w:rsidR="00140541" w:rsidRPr="00EB6016" w:rsidRDefault="00140541" w:rsidP="00A43A26">
            <w:pPr>
              <w:spacing w:before="0" w:line="259" w:lineRule="auto"/>
              <w:jc w:val="center"/>
              <w:rPr>
                <w:sz w:val="20"/>
                <w:szCs w:val="22"/>
              </w:rPr>
            </w:pPr>
          </w:p>
        </w:tc>
      </w:tr>
      <w:tr w:rsidR="00140541" w:rsidRPr="00EB6016" w14:paraId="0C44FF4F" w14:textId="77777777" w:rsidTr="00A0343C">
        <w:trPr>
          <w:trHeight w:val="580"/>
          <w:jc w:val="center"/>
        </w:trPr>
        <w:tc>
          <w:tcPr>
            <w:tcW w:w="4928" w:type="dxa"/>
            <w:tcBorders>
              <w:top w:val="single" w:sz="4" w:space="0" w:color="000000"/>
              <w:left w:val="single" w:sz="4" w:space="0" w:color="000000"/>
              <w:bottom w:val="single" w:sz="4" w:space="0" w:color="000000"/>
              <w:right w:val="single" w:sz="4" w:space="0" w:color="000000"/>
            </w:tcBorders>
          </w:tcPr>
          <w:p w14:paraId="2DD42745" w14:textId="534B798C" w:rsidR="00140541" w:rsidRPr="00EB6016" w:rsidRDefault="00140541" w:rsidP="00140541">
            <w:pPr>
              <w:spacing w:before="0" w:after="33" w:line="238" w:lineRule="auto"/>
              <w:rPr>
                <w:sz w:val="20"/>
                <w:szCs w:val="22"/>
              </w:rPr>
            </w:pPr>
            <w:r w:rsidRPr="00EB6016">
              <w:rPr>
                <w:sz w:val="20"/>
                <w:szCs w:val="22"/>
              </w:rPr>
              <w:t xml:space="preserve">Blood monitoring tests </w:t>
            </w:r>
            <w:r w:rsidR="00AE7D12" w:rsidRPr="00EB6016">
              <w:rPr>
                <w:sz w:val="20"/>
                <w:szCs w:val="22"/>
              </w:rPr>
              <w:t>checked,</w:t>
            </w:r>
            <w:r w:rsidRPr="00EB6016">
              <w:rPr>
                <w:sz w:val="20"/>
                <w:szCs w:val="22"/>
              </w:rPr>
              <w:t xml:space="preserve"> and results confirmed to be within acceptable parameters</w:t>
            </w:r>
            <w:r>
              <w:rPr>
                <w:sz w:val="20"/>
                <w:szCs w:val="22"/>
              </w:rPr>
              <w:t>?</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8AD67F6"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EF3577C" w14:textId="3C7E69CB" w:rsidR="00140541" w:rsidRPr="00EB6016" w:rsidRDefault="0014054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AC569FD"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18700C96" w14:textId="4B9B958F" w:rsidR="00140541" w:rsidRPr="00EB6016" w:rsidRDefault="0014054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C809320"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D9F967C" w14:textId="60F0447E" w:rsidR="00140541" w:rsidRPr="00EB6016" w:rsidRDefault="0014054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6B3F923" w14:textId="77777777" w:rsidR="00140541" w:rsidRPr="00EB6016" w:rsidRDefault="0014054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0E5CCB2C" w14:textId="2121BF48" w:rsidR="00140541" w:rsidRPr="00EB6016" w:rsidRDefault="0014054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A95E3CA"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8EB0C56" w14:textId="28BBE03A" w:rsidR="00140541" w:rsidRPr="00EB6016" w:rsidRDefault="00140541" w:rsidP="00140541">
            <w:pPr>
              <w:spacing w:line="259" w:lineRule="auto"/>
              <w:jc w:val="left"/>
              <w:rPr>
                <w:sz w:val="20"/>
                <w:szCs w:val="22"/>
              </w:rPr>
            </w:pPr>
          </w:p>
        </w:tc>
      </w:tr>
      <w:tr w:rsidR="00140541" w:rsidRPr="00EB6016" w14:paraId="140C4864" w14:textId="77777777" w:rsidTr="00A0343C">
        <w:trPr>
          <w:trHeight w:val="281"/>
          <w:jc w:val="center"/>
        </w:trPr>
        <w:tc>
          <w:tcPr>
            <w:tcW w:w="4928" w:type="dxa"/>
            <w:tcBorders>
              <w:top w:val="single" w:sz="4" w:space="0" w:color="000000"/>
              <w:left w:val="single" w:sz="4" w:space="0" w:color="000000"/>
              <w:bottom w:val="single" w:sz="4" w:space="0" w:color="000000"/>
              <w:right w:val="single" w:sz="4" w:space="0" w:color="000000"/>
            </w:tcBorders>
          </w:tcPr>
          <w:p w14:paraId="48E25B42" w14:textId="6D5AE6C1" w:rsidR="00140541" w:rsidRPr="00140541" w:rsidRDefault="00140541" w:rsidP="00140541">
            <w:pPr>
              <w:spacing w:before="0" w:after="25" w:line="239" w:lineRule="auto"/>
              <w:ind w:right="107"/>
              <w:jc w:val="left"/>
              <w:rPr>
                <w:sz w:val="20"/>
                <w:szCs w:val="22"/>
              </w:rPr>
            </w:pPr>
            <w:r w:rsidRPr="00EB6016">
              <w:rPr>
                <w:sz w:val="20"/>
                <w:szCs w:val="22"/>
              </w:rPr>
              <w:t>If test results are not within acceptable parameters, advice has been sought from the responsible clinician and documented in the</w:t>
            </w:r>
            <w:r>
              <w:rPr>
                <w:sz w:val="20"/>
                <w:szCs w:val="22"/>
              </w:rPr>
              <w:t xml:space="preserve"> </w:t>
            </w:r>
            <w:r w:rsidRPr="00EB6016">
              <w:rPr>
                <w:sz w:val="20"/>
                <w:szCs w:val="22"/>
              </w:rPr>
              <w:t>patient’s notes</w:t>
            </w:r>
            <w:r>
              <w:rPr>
                <w:sz w:val="20"/>
                <w:szCs w:val="22"/>
              </w:rPr>
              <w:t>?</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2864F0F"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ED3D4E9" w14:textId="6881B193" w:rsidR="00140541" w:rsidRPr="00EB6016" w:rsidRDefault="0014054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334D19B"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0F9BB1A2" w14:textId="3789F97C" w:rsidR="00140541" w:rsidRPr="00EB6016" w:rsidRDefault="0014054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8A9B809"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2FA5629" w14:textId="31CE0BDC" w:rsidR="00140541" w:rsidRPr="00EB6016" w:rsidRDefault="0014054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B970CFD"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8C85995" w14:textId="0EB0B186" w:rsidR="00140541" w:rsidRPr="00EB6016" w:rsidRDefault="0014054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7EAAE20"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921782D" w14:textId="50701BE3" w:rsidR="00140541" w:rsidRPr="00EB6016" w:rsidRDefault="00140541" w:rsidP="00140541">
            <w:pPr>
              <w:spacing w:line="259" w:lineRule="auto"/>
              <w:jc w:val="left"/>
              <w:rPr>
                <w:sz w:val="20"/>
                <w:szCs w:val="22"/>
              </w:rPr>
            </w:pPr>
          </w:p>
        </w:tc>
      </w:tr>
      <w:tr w:rsidR="00140541" w:rsidRPr="00EB6016" w14:paraId="09CB2545" w14:textId="77777777" w:rsidTr="00A0343C">
        <w:trPr>
          <w:trHeight w:val="358"/>
          <w:jc w:val="center"/>
        </w:trPr>
        <w:tc>
          <w:tcPr>
            <w:tcW w:w="4928" w:type="dxa"/>
            <w:tcBorders>
              <w:top w:val="single" w:sz="4" w:space="0" w:color="000000"/>
              <w:left w:val="single" w:sz="4" w:space="0" w:color="000000"/>
              <w:bottom w:val="single" w:sz="4" w:space="0" w:color="000000"/>
              <w:right w:val="single" w:sz="4" w:space="0" w:color="000000"/>
            </w:tcBorders>
          </w:tcPr>
          <w:p w14:paraId="3D75B1D0" w14:textId="7F48B3B3" w:rsidR="00140541" w:rsidRPr="00EB6016" w:rsidRDefault="00140541" w:rsidP="00140541">
            <w:pPr>
              <w:spacing w:after="10" w:line="259" w:lineRule="auto"/>
              <w:jc w:val="left"/>
              <w:rPr>
                <w:sz w:val="20"/>
                <w:szCs w:val="22"/>
              </w:rPr>
            </w:pPr>
            <w:r w:rsidRPr="00EB6016">
              <w:rPr>
                <w:sz w:val="20"/>
                <w:szCs w:val="22"/>
              </w:rPr>
              <w:t>Agreement from clinician to proceed given</w:t>
            </w:r>
            <w:r>
              <w:rPr>
                <w:sz w:val="20"/>
                <w:szCs w:val="22"/>
              </w:rPr>
              <w:t>?</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EF268B2"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7335279" w14:textId="533DA511" w:rsidR="00140541" w:rsidRPr="00EB6016" w:rsidRDefault="0014054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5AEFE473"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6EFEAF6" w14:textId="340C679E" w:rsidR="00140541" w:rsidRPr="00EB6016" w:rsidRDefault="0014054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DE50F45"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D15B4A3" w14:textId="48D8BD5A" w:rsidR="00140541" w:rsidRPr="00EB6016" w:rsidRDefault="0014054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8B47F0D"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4BF9FD1" w14:textId="0B8FDA40" w:rsidR="00140541" w:rsidRPr="00EB6016" w:rsidRDefault="0014054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DEA0E73" w14:textId="77777777" w:rsidR="00140541" w:rsidRPr="00EB6016" w:rsidRDefault="00140541" w:rsidP="00140541">
            <w:pPr>
              <w:spacing w:line="259" w:lineRule="auto"/>
              <w:jc w:val="left"/>
              <w:rPr>
                <w:sz w:val="20"/>
                <w:szCs w:val="22"/>
              </w:rPr>
            </w:pPr>
            <w:r w:rsidRPr="00EB6016">
              <w:rPr>
                <w:sz w:val="20"/>
                <w:szCs w:val="22"/>
              </w:rPr>
              <w:t xml:space="preserve"> </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662DD28" w14:textId="2B31BB45" w:rsidR="00140541" w:rsidRPr="00EB6016" w:rsidRDefault="00140541" w:rsidP="00140541">
            <w:pPr>
              <w:spacing w:line="259" w:lineRule="auto"/>
              <w:jc w:val="left"/>
              <w:rPr>
                <w:sz w:val="20"/>
                <w:szCs w:val="22"/>
              </w:rPr>
            </w:pPr>
          </w:p>
        </w:tc>
      </w:tr>
      <w:tr w:rsidR="00A43A26" w:rsidRPr="00EB6016" w14:paraId="704240B3" w14:textId="77777777" w:rsidTr="00A0343C">
        <w:trPr>
          <w:trHeight w:val="770"/>
          <w:jc w:val="center"/>
        </w:trPr>
        <w:tc>
          <w:tcPr>
            <w:tcW w:w="4928" w:type="dxa"/>
            <w:tcBorders>
              <w:top w:val="single" w:sz="4" w:space="0" w:color="000000"/>
              <w:left w:val="single" w:sz="4" w:space="0" w:color="000000"/>
              <w:bottom w:val="single" w:sz="4" w:space="0" w:color="000000"/>
              <w:right w:val="single" w:sz="4" w:space="0" w:color="000000"/>
            </w:tcBorders>
          </w:tcPr>
          <w:p w14:paraId="60E73932" w14:textId="3C4A4E7E" w:rsidR="007E35DB" w:rsidRPr="007E35DB" w:rsidRDefault="007E35DB" w:rsidP="007E35DB">
            <w:pPr>
              <w:spacing w:before="0" w:after="10" w:line="259" w:lineRule="auto"/>
              <w:jc w:val="left"/>
              <w:rPr>
                <w:sz w:val="20"/>
                <w:szCs w:val="22"/>
              </w:rPr>
            </w:pPr>
            <w:r w:rsidRPr="007E35DB">
              <w:rPr>
                <w:sz w:val="20"/>
                <w:szCs w:val="22"/>
              </w:rPr>
              <w:t>The</w:t>
            </w:r>
            <w:r>
              <w:rPr>
                <w:sz w:val="20"/>
                <w:szCs w:val="22"/>
              </w:rPr>
              <w:t xml:space="preserve"> </w:t>
            </w:r>
            <w:r w:rsidRPr="007E35DB">
              <w:rPr>
                <w:sz w:val="20"/>
                <w:szCs w:val="22"/>
              </w:rPr>
              <w:t>patient</w:t>
            </w:r>
            <w:r>
              <w:rPr>
                <w:sz w:val="20"/>
                <w:szCs w:val="22"/>
              </w:rPr>
              <w:t xml:space="preserve"> </w:t>
            </w:r>
            <w:r w:rsidRPr="007E35DB">
              <w:rPr>
                <w:sz w:val="20"/>
                <w:szCs w:val="22"/>
              </w:rPr>
              <w:t>is</w:t>
            </w:r>
            <w:r>
              <w:rPr>
                <w:sz w:val="20"/>
                <w:szCs w:val="22"/>
              </w:rPr>
              <w:t xml:space="preserve"> </w:t>
            </w:r>
            <w:r w:rsidRPr="007E35DB">
              <w:rPr>
                <w:sz w:val="20"/>
                <w:szCs w:val="22"/>
              </w:rPr>
              <w:t>free</w:t>
            </w:r>
            <w:r>
              <w:rPr>
                <w:sz w:val="20"/>
                <w:szCs w:val="22"/>
              </w:rPr>
              <w:t xml:space="preserve"> </w:t>
            </w:r>
            <w:r w:rsidRPr="007E35DB">
              <w:rPr>
                <w:sz w:val="20"/>
                <w:szCs w:val="22"/>
              </w:rPr>
              <w:t>of</w:t>
            </w:r>
            <w:r>
              <w:rPr>
                <w:sz w:val="20"/>
                <w:szCs w:val="22"/>
              </w:rPr>
              <w:t xml:space="preserve"> </w:t>
            </w:r>
            <w:r w:rsidRPr="007E35DB">
              <w:rPr>
                <w:sz w:val="20"/>
                <w:szCs w:val="22"/>
              </w:rPr>
              <w:t xml:space="preserve">the following signs/symptoms: </w:t>
            </w:r>
          </w:p>
          <w:p w14:paraId="218A0F7A" w14:textId="6BAA75AD" w:rsidR="007E35DB" w:rsidRPr="007E35DB" w:rsidRDefault="007E35DB" w:rsidP="007E35DB">
            <w:pPr>
              <w:spacing w:before="0" w:after="10" w:line="259" w:lineRule="auto"/>
              <w:jc w:val="left"/>
              <w:rPr>
                <w:sz w:val="20"/>
                <w:szCs w:val="22"/>
              </w:rPr>
            </w:pPr>
            <w:r w:rsidRPr="007E35DB">
              <w:rPr>
                <w:sz w:val="20"/>
                <w:szCs w:val="22"/>
              </w:rPr>
              <w:t xml:space="preserve">•Severe sore throat or mouth </w:t>
            </w:r>
          </w:p>
          <w:p w14:paraId="48808CC4" w14:textId="057158A0" w:rsidR="007E35DB" w:rsidRPr="007E35DB" w:rsidRDefault="007E35DB" w:rsidP="007E35DB">
            <w:pPr>
              <w:spacing w:before="0" w:after="10" w:line="259" w:lineRule="auto"/>
              <w:jc w:val="left"/>
              <w:rPr>
                <w:sz w:val="20"/>
                <w:szCs w:val="22"/>
              </w:rPr>
            </w:pPr>
            <w:r w:rsidRPr="007E35DB">
              <w:rPr>
                <w:sz w:val="20"/>
                <w:szCs w:val="22"/>
              </w:rPr>
              <w:t xml:space="preserve">•Abnormal bleeding tendency </w:t>
            </w:r>
          </w:p>
          <w:p w14:paraId="06A5260E" w14:textId="68619F74" w:rsidR="007E35DB" w:rsidRPr="007E35DB" w:rsidRDefault="007E35DB" w:rsidP="007E35DB">
            <w:pPr>
              <w:spacing w:before="0" w:after="10" w:line="259" w:lineRule="auto"/>
              <w:jc w:val="left"/>
              <w:rPr>
                <w:sz w:val="20"/>
                <w:szCs w:val="22"/>
              </w:rPr>
            </w:pPr>
            <w:r w:rsidRPr="007E35DB">
              <w:rPr>
                <w:sz w:val="20"/>
                <w:szCs w:val="22"/>
              </w:rPr>
              <w:t xml:space="preserve">•Skin rash </w:t>
            </w:r>
          </w:p>
          <w:p w14:paraId="08B19B51" w14:textId="042F213A" w:rsidR="007E35DB" w:rsidRPr="007E35DB" w:rsidRDefault="007E35DB" w:rsidP="007E35DB">
            <w:pPr>
              <w:spacing w:before="0" w:after="10" w:line="259" w:lineRule="auto"/>
              <w:jc w:val="left"/>
              <w:rPr>
                <w:sz w:val="20"/>
                <w:szCs w:val="22"/>
              </w:rPr>
            </w:pPr>
            <w:r w:rsidRPr="007E35DB">
              <w:rPr>
                <w:sz w:val="20"/>
                <w:szCs w:val="22"/>
              </w:rPr>
              <w:t xml:space="preserve">•Mouth ulceration </w:t>
            </w:r>
          </w:p>
          <w:p w14:paraId="20A016B1" w14:textId="1F1A59C1" w:rsidR="007E35DB" w:rsidRPr="007E35DB" w:rsidRDefault="007E35DB" w:rsidP="007E35DB">
            <w:pPr>
              <w:spacing w:before="0" w:after="10" w:line="259" w:lineRule="auto"/>
              <w:jc w:val="left"/>
              <w:rPr>
                <w:sz w:val="20"/>
                <w:szCs w:val="22"/>
              </w:rPr>
            </w:pPr>
            <w:r w:rsidRPr="007E35DB">
              <w:rPr>
                <w:sz w:val="20"/>
                <w:szCs w:val="22"/>
              </w:rPr>
              <w:t xml:space="preserve">•Breathlessness or dry cough </w:t>
            </w:r>
          </w:p>
          <w:p w14:paraId="38935AD8" w14:textId="02CAA928" w:rsidR="007E35DB" w:rsidRPr="007E35DB" w:rsidRDefault="007E35DB" w:rsidP="007E35DB">
            <w:pPr>
              <w:spacing w:before="0" w:after="10" w:line="259" w:lineRule="auto"/>
              <w:jc w:val="left"/>
              <w:rPr>
                <w:sz w:val="20"/>
                <w:szCs w:val="22"/>
              </w:rPr>
            </w:pPr>
            <w:r w:rsidRPr="007E35DB">
              <w:rPr>
                <w:sz w:val="20"/>
                <w:szCs w:val="22"/>
              </w:rPr>
              <w:t xml:space="preserve">•Symptoms of/contact with shingles or chickenpox </w:t>
            </w:r>
          </w:p>
          <w:p w14:paraId="1455195E" w14:textId="365B893A" w:rsidR="00A43A26" w:rsidRPr="00EB6016" w:rsidRDefault="007E35DB" w:rsidP="007E35DB">
            <w:pPr>
              <w:spacing w:before="0" w:after="10" w:line="259" w:lineRule="auto"/>
              <w:rPr>
                <w:sz w:val="20"/>
                <w:szCs w:val="22"/>
              </w:rPr>
            </w:pPr>
            <w:r w:rsidRPr="007E35DB">
              <w:rPr>
                <w:sz w:val="20"/>
                <w:szCs w:val="22"/>
              </w:rPr>
              <w:t>•</w:t>
            </w:r>
            <w:r w:rsidR="00C53EA2">
              <w:rPr>
                <w:sz w:val="20"/>
                <w:szCs w:val="22"/>
              </w:rPr>
              <w:t>A</w:t>
            </w:r>
            <w:r w:rsidRPr="007E35DB">
              <w:rPr>
                <w:sz w:val="20"/>
                <w:szCs w:val="22"/>
              </w:rPr>
              <w:t xml:space="preserve">n infection that is not improving  </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FBADBDB" w14:textId="77777777" w:rsidR="00A43A26" w:rsidRPr="00EB6016" w:rsidRDefault="00A43A26" w:rsidP="00140541">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E911695" w14:textId="77777777" w:rsidR="00A43A26" w:rsidRPr="00EB6016" w:rsidRDefault="00A43A26"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7F1C2A8A" w14:textId="77777777" w:rsidR="00A43A26" w:rsidRPr="00EB6016" w:rsidRDefault="00A43A26"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7698FD38" w14:textId="77777777" w:rsidR="00A43A26" w:rsidRPr="00EB6016" w:rsidRDefault="00A43A26"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6374EBE" w14:textId="77777777" w:rsidR="00A43A26" w:rsidRPr="00EB6016" w:rsidRDefault="00A43A26" w:rsidP="00140541">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2D4C389" w14:textId="77777777" w:rsidR="00A43A26" w:rsidRPr="00EB6016" w:rsidRDefault="00A43A26"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675E49EA" w14:textId="77777777" w:rsidR="00A43A26" w:rsidRPr="00EB6016" w:rsidRDefault="00A43A26"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7468C9F" w14:textId="77777777" w:rsidR="00A43A26" w:rsidRPr="00EB6016" w:rsidRDefault="00A43A26"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88D77D7" w14:textId="77777777" w:rsidR="00A43A26" w:rsidRPr="00EB6016" w:rsidRDefault="00A43A26"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63B6944" w14:textId="77777777" w:rsidR="00A43A26" w:rsidRPr="00EB6016" w:rsidRDefault="00A43A26" w:rsidP="00140541">
            <w:pPr>
              <w:spacing w:line="259" w:lineRule="auto"/>
              <w:jc w:val="left"/>
              <w:rPr>
                <w:sz w:val="20"/>
                <w:szCs w:val="22"/>
              </w:rPr>
            </w:pPr>
          </w:p>
        </w:tc>
      </w:tr>
      <w:tr w:rsidR="00770A01" w:rsidRPr="00EB6016" w14:paraId="34738F9A" w14:textId="77777777" w:rsidTr="00A0343C">
        <w:trPr>
          <w:trHeight w:val="61"/>
          <w:jc w:val="center"/>
        </w:trPr>
        <w:tc>
          <w:tcPr>
            <w:tcW w:w="4928" w:type="dxa"/>
            <w:tcBorders>
              <w:top w:val="single" w:sz="4" w:space="0" w:color="000000"/>
              <w:left w:val="single" w:sz="4" w:space="0" w:color="000000"/>
              <w:bottom w:val="single" w:sz="4" w:space="0" w:color="000000"/>
              <w:right w:val="single" w:sz="4" w:space="0" w:color="000000"/>
            </w:tcBorders>
          </w:tcPr>
          <w:p w14:paraId="73BB8C7A" w14:textId="5AB903AF" w:rsidR="002F482F" w:rsidRPr="002F482F" w:rsidRDefault="002F482F" w:rsidP="002F482F">
            <w:pPr>
              <w:spacing w:before="0" w:after="10" w:line="259" w:lineRule="auto"/>
              <w:jc w:val="left"/>
              <w:rPr>
                <w:sz w:val="20"/>
                <w:szCs w:val="22"/>
              </w:rPr>
            </w:pPr>
            <w:r w:rsidRPr="002F482F">
              <w:rPr>
                <w:sz w:val="20"/>
                <w:szCs w:val="22"/>
              </w:rPr>
              <w:t>Is the patient pregnant</w:t>
            </w:r>
            <w:r>
              <w:rPr>
                <w:sz w:val="20"/>
                <w:szCs w:val="22"/>
              </w:rPr>
              <w:t>?</w:t>
            </w:r>
          </w:p>
          <w:p w14:paraId="1849C760" w14:textId="1E79AC31" w:rsidR="00770A01" w:rsidRPr="00EB6016" w:rsidRDefault="002F482F" w:rsidP="002F482F">
            <w:pPr>
              <w:spacing w:before="0" w:after="10" w:line="259" w:lineRule="auto"/>
              <w:jc w:val="left"/>
              <w:rPr>
                <w:sz w:val="20"/>
                <w:szCs w:val="22"/>
              </w:rPr>
            </w:pPr>
            <w:r w:rsidRPr="002F482F">
              <w:rPr>
                <w:sz w:val="20"/>
                <w:szCs w:val="22"/>
              </w:rPr>
              <w:t>If this answer is Yes do not proceed</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1727D72" w14:textId="77777777" w:rsidR="00770A01" w:rsidRPr="00EB6016" w:rsidRDefault="00770A01" w:rsidP="00140541">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0437AE0"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37CD8B8A"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636EEE65" w14:textId="77777777" w:rsidR="00770A01" w:rsidRPr="00EB6016" w:rsidRDefault="00770A0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1BC88EF" w14:textId="77777777" w:rsidR="00770A01" w:rsidRPr="00EB6016" w:rsidRDefault="00770A01" w:rsidP="00140541">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8DE1669"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6B0E8EF6"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88F64E3" w14:textId="77777777" w:rsidR="00770A01" w:rsidRPr="00EB6016" w:rsidRDefault="00770A0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01E1323" w14:textId="77777777" w:rsidR="00770A01" w:rsidRPr="00EB6016" w:rsidRDefault="00770A0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CD0E1CF" w14:textId="77777777" w:rsidR="00770A01" w:rsidRPr="00EB6016" w:rsidRDefault="00770A01" w:rsidP="00140541">
            <w:pPr>
              <w:spacing w:line="259" w:lineRule="auto"/>
              <w:jc w:val="left"/>
              <w:rPr>
                <w:sz w:val="20"/>
                <w:szCs w:val="22"/>
              </w:rPr>
            </w:pPr>
          </w:p>
        </w:tc>
      </w:tr>
      <w:tr w:rsidR="00770A01" w:rsidRPr="00EB6016" w14:paraId="10B8EEF9" w14:textId="77777777" w:rsidTr="00681E21">
        <w:trPr>
          <w:trHeight w:val="330"/>
          <w:jc w:val="center"/>
        </w:trPr>
        <w:tc>
          <w:tcPr>
            <w:tcW w:w="4928" w:type="dxa"/>
            <w:tcBorders>
              <w:top w:val="single" w:sz="4" w:space="0" w:color="000000"/>
              <w:left w:val="single" w:sz="4" w:space="0" w:color="000000"/>
              <w:bottom w:val="single" w:sz="4" w:space="0" w:color="000000"/>
              <w:right w:val="single" w:sz="4" w:space="0" w:color="000000"/>
            </w:tcBorders>
          </w:tcPr>
          <w:p w14:paraId="6E58EC8E" w14:textId="7B127035" w:rsidR="00770A01" w:rsidRPr="004F0A38" w:rsidRDefault="004103EE" w:rsidP="00681E21">
            <w:pPr>
              <w:spacing w:line="241" w:lineRule="auto"/>
              <w:rPr>
                <w:sz w:val="20"/>
                <w:szCs w:val="22"/>
              </w:rPr>
            </w:pPr>
            <w:r w:rsidRPr="004F0A38">
              <w:rPr>
                <w:sz w:val="20"/>
                <w:szCs w:val="22"/>
              </w:rPr>
              <w:t>Written authorisation to medicate available and the dosage confirmed as unchanged?</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47802BD" w14:textId="77777777" w:rsidR="00770A01" w:rsidRPr="00EB6016" w:rsidRDefault="00770A01" w:rsidP="00140541">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B0DEFF0"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10BABDE1"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67132598" w14:textId="77777777" w:rsidR="00770A01" w:rsidRPr="00EB6016" w:rsidRDefault="00770A0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49635A6" w14:textId="77777777" w:rsidR="00770A01" w:rsidRPr="00EB6016" w:rsidRDefault="00770A01" w:rsidP="00140541">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194FDB0"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7BD547B6" w14:textId="77777777" w:rsidR="00770A01" w:rsidRPr="00EB6016" w:rsidRDefault="00770A01" w:rsidP="00140541">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02D1E35" w14:textId="77777777" w:rsidR="00770A01" w:rsidRPr="00EB6016" w:rsidRDefault="00770A0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DECB24B" w14:textId="77777777" w:rsidR="00770A01" w:rsidRPr="00EB6016" w:rsidRDefault="00770A01" w:rsidP="00140541">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C80B553" w14:textId="77777777" w:rsidR="00770A01" w:rsidRPr="00EB6016" w:rsidRDefault="00770A01" w:rsidP="00140541">
            <w:pPr>
              <w:spacing w:line="259" w:lineRule="auto"/>
              <w:jc w:val="left"/>
              <w:rPr>
                <w:sz w:val="20"/>
                <w:szCs w:val="22"/>
              </w:rPr>
            </w:pPr>
          </w:p>
        </w:tc>
      </w:tr>
      <w:tr w:rsidR="00063E72" w:rsidRPr="00EB6016" w14:paraId="7FFD53DE" w14:textId="77777777" w:rsidTr="004F0A38">
        <w:trPr>
          <w:trHeight w:val="61"/>
          <w:jc w:val="center"/>
        </w:trPr>
        <w:tc>
          <w:tcPr>
            <w:tcW w:w="4928" w:type="dxa"/>
            <w:tcBorders>
              <w:top w:val="single" w:sz="4" w:space="0" w:color="000000"/>
              <w:left w:val="single" w:sz="4" w:space="0" w:color="000000"/>
              <w:bottom w:val="single" w:sz="4" w:space="0" w:color="000000"/>
              <w:right w:val="single" w:sz="4" w:space="0" w:color="000000"/>
            </w:tcBorders>
          </w:tcPr>
          <w:p w14:paraId="452DBC14" w14:textId="0D136B00" w:rsidR="00063E72" w:rsidRPr="004F0A38" w:rsidRDefault="004103EE" w:rsidP="00063E72">
            <w:pPr>
              <w:spacing w:line="259" w:lineRule="auto"/>
              <w:jc w:val="left"/>
              <w:rPr>
                <w:sz w:val="20"/>
                <w:szCs w:val="22"/>
              </w:rPr>
            </w:pPr>
            <w:r w:rsidRPr="004F0A38">
              <w:rPr>
                <w:sz w:val="20"/>
                <w:szCs w:val="22"/>
              </w:rPr>
              <w:t>Correct medication available and in date?</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6953585"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532D229"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9B53421"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79DA989"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67DB48C"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F845F82"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1450F9B6"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01887BC9"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C017820"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F6A66FB" w14:textId="77777777" w:rsidR="00063E72" w:rsidRPr="00EB6016" w:rsidRDefault="00063E72" w:rsidP="00063E72">
            <w:pPr>
              <w:spacing w:line="259" w:lineRule="auto"/>
              <w:jc w:val="left"/>
              <w:rPr>
                <w:sz w:val="20"/>
                <w:szCs w:val="22"/>
              </w:rPr>
            </w:pPr>
          </w:p>
        </w:tc>
      </w:tr>
      <w:tr w:rsidR="00063E72" w:rsidRPr="00EB6016" w14:paraId="1CD4BBF4" w14:textId="77777777" w:rsidTr="004F0A38">
        <w:trPr>
          <w:trHeight w:val="61"/>
          <w:jc w:val="center"/>
        </w:trPr>
        <w:tc>
          <w:tcPr>
            <w:tcW w:w="4928" w:type="dxa"/>
            <w:tcBorders>
              <w:top w:val="single" w:sz="4" w:space="0" w:color="000000"/>
              <w:left w:val="single" w:sz="4" w:space="0" w:color="000000"/>
              <w:bottom w:val="single" w:sz="4" w:space="0" w:color="000000"/>
              <w:right w:val="single" w:sz="4" w:space="0" w:color="000000"/>
            </w:tcBorders>
          </w:tcPr>
          <w:p w14:paraId="17E9BC48" w14:textId="195E809E" w:rsidR="00063E72" w:rsidRPr="004F0A38" w:rsidRDefault="004103EE" w:rsidP="004F0A38">
            <w:pPr>
              <w:spacing w:line="259" w:lineRule="auto"/>
              <w:jc w:val="left"/>
              <w:rPr>
                <w:sz w:val="20"/>
                <w:szCs w:val="22"/>
              </w:rPr>
            </w:pPr>
            <w:r w:rsidRPr="004F0A38">
              <w:rPr>
                <w:sz w:val="20"/>
                <w:szCs w:val="22"/>
              </w:rPr>
              <w:t>Medication has been stored appropriately</w:t>
            </w:r>
            <w:r w:rsidR="004F0A38" w:rsidRPr="004F0A38">
              <w:rPr>
                <w:sz w:val="20"/>
                <w:szCs w:val="22"/>
              </w:rPr>
              <w:t>?</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CE8CA87"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9AE9BFA"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0AA26DE9"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145F3DF1"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4D8062B"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E715B44"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2DC709A9"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7CA5696"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8688931"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D63E855" w14:textId="77777777" w:rsidR="00063E72" w:rsidRPr="00EB6016" w:rsidRDefault="00063E72" w:rsidP="00063E72">
            <w:pPr>
              <w:spacing w:line="259" w:lineRule="auto"/>
              <w:jc w:val="left"/>
              <w:rPr>
                <w:sz w:val="20"/>
                <w:szCs w:val="22"/>
              </w:rPr>
            </w:pPr>
          </w:p>
        </w:tc>
      </w:tr>
      <w:tr w:rsidR="00063E72" w:rsidRPr="00EB6016" w14:paraId="7671C2AB" w14:textId="77777777" w:rsidTr="004F0A38">
        <w:trPr>
          <w:trHeight w:val="61"/>
          <w:jc w:val="center"/>
        </w:trPr>
        <w:tc>
          <w:tcPr>
            <w:tcW w:w="4928" w:type="dxa"/>
            <w:tcBorders>
              <w:top w:val="single" w:sz="4" w:space="0" w:color="000000"/>
              <w:left w:val="single" w:sz="4" w:space="0" w:color="000000"/>
              <w:bottom w:val="single" w:sz="4" w:space="0" w:color="000000"/>
              <w:right w:val="single" w:sz="4" w:space="0" w:color="000000"/>
            </w:tcBorders>
          </w:tcPr>
          <w:p w14:paraId="0AFAD199" w14:textId="6FCA0D01" w:rsidR="00063E72" w:rsidRPr="004F0A38" w:rsidRDefault="00063E72" w:rsidP="004F0A38">
            <w:pPr>
              <w:tabs>
                <w:tab w:val="center" w:pos="2703"/>
              </w:tabs>
              <w:spacing w:line="259" w:lineRule="auto"/>
              <w:jc w:val="left"/>
              <w:rPr>
                <w:sz w:val="20"/>
                <w:szCs w:val="22"/>
              </w:rPr>
            </w:pPr>
            <w:r w:rsidRPr="004F0A38">
              <w:rPr>
                <w:sz w:val="20"/>
                <w:szCs w:val="22"/>
              </w:rPr>
              <w:t xml:space="preserve"> </w:t>
            </w:r>
            <w:r w:rsidR="004F0A38" w:rsidRPr="004F0A38">
              <w:rPr>
                <w:sz w:val="20"/>
                <w:szCs w:val="22"/>
              </w:rPr>
              <w:t>All necessary equipment available?</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3478C09"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AD40A9C"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33A7FE9B"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EDF4491"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6565AB8"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9E34234"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3E6F73F2"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54BFE773"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11F0D21"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F478978" w14:textId="77777777" w:rsidR="00063E72" w:rsidRPr="00EB6016" w:rsidRDefault="00063E72" w:rsidP="00063E72">
            <w:pPr>
              <w:spacing w:line="259" w:lineRule="auto"/>
              <w:jc w:val="left"/>
              <w:rPr>
                <w:sz w:val="20"/>
                <w:szCs w:val="22"/>
              </w:rPr>
            </w:pPr>
          </w:p>
        </w:tc>
      </w:tr>
      <w:tr w:rsidR="00063E72" w:rsidRPr="00EB6016" w14:paraId="5709D7F8" w14:textId="77777777" w:rsidTr="004F0A38">
        <w:trPr>
          <w:trHeight w:val="284"/>
          <w:jc w:val="center"/>
        </w:trPr>
        <w:tc>
          <w:tcPr>
            <w:tcW w:w="4928" w:type="dxa"/>
            <w:tcBorders>
              <w:top w:val="single" w:sz="4" w:space="0" w:color="000000"/>
              <w:left w:val="single" w:sz="4" w:space="0" w:color="000000"/>
              <w:bottom w:val="single" w:sz="4" w:space="0" w:color="000000"/>
              <w:right w:val="single" w:sz="4" w:space="0" w:color="000000"/>
            </w:tcBorders>
          </w:tcPr>
          <w:p w14:paraId="012DC38D" w14:textId="5D4D3AAC" w:rsidR="00063E72" w:rsidRPr="004F0A38" w:rsidRDefault="004F0A38" w:rsidP="004F0A38">
            <w:pPr>
              <w:spacing w:line="259" w:lineRule="auto"/>
              <w:jc w:val="left"/>
              <w:rPr>
                <w:sz w:val="20"/>
                <w:szCs w:val="22"/>
              </w:rPr>
            </w:pPr>
            <w:r w:rsidRPr="004F0A38">
              <w:rPr>
                <w:sz w:val="20"/>
                <w:szCs w:val="22"/>
              </w:rPr>
              <w:t>Consent reaffirmed?</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3B39778"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BC6A69F"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7EF2E066"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697A390"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26AA48D"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0379BE1"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063B45F"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C0B6BBD"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D311995"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FAF66DD" w14:textId="77777777" w:rsidR="00063E72" w:rsidRPr="00EB6016" w:rsidRDefault="00063E72" w:rsidP="00063E72">
            <w:pPr>
              <w:spacing w:line="259" w:lineRule="auto"/>
              <w:jc w:val="left"/>
              <w:rPr>
                <w:sz w:val="20"/>
                <w:szCs w:val="22"/>
              </w:rPr>
            </w:pPr>
          </w:p>
        </w:tc>
      </w:tr>
      <w:tr w:rsidR="00063E72" w:rsidRPr="00EB6016" w14:paraId="26A7C1DC" w14:textId="77777777" w:rsidTr="00672B7E">
        <w:trPr>
          <w:trHeight w:val="61"/>
          <w:jc w:val="center"/>
        </w:trPr>
        <w:tc>
          <w:tcPr>
            <w:tcW w:w="4928" w:type="dxa"/>
            <w:tcBorders>
              <w:top w:val="single" w:sz="4" w:space="0" w:color="000000"/>
              <w:left w:val="single" w:sz="4" w:space="0" w:color="000000"/>
              <w:bottom w:val="single" w:sz="4" w:space="0" w:color="000000"/>
              <w:right w:val="single" w:sz="4" w:space="0" w:color="000000"/>
            </w:tcBorders>
            <w:vAlign w:val="center"/>
          </w:tcPr>
          <w:p w14:paraId="5425947A" w14:textId="39CF3772" w:rsidR="00063E72" w:rsidRPr="00AE7D12" w:rsidRDefault="00063E72" w:rsidP="00681E21">
            <w:pPr>
              <w:spacing w:line="259" w:lineRule="auto"/>
              <w:jc w:val="left"/>
              <w:rPr>
                <w:sz w:val="20"/>
                <w:szCs w:val="22"/>
              </w:rPr>
            </w:pPr>
            <w:r w:rsidRPr="00AE7D12">
              <w:rPr>
                <w:rFonts w:eastAsia="Arial" w:cs="Arial"/>
                <w:b/>
                <w:sz w:val="20"/>
                <w:szCs w:val="22"/>
              </w:rPr>
              <w:t xml:space="preserve">Checklist completed by: </w:t>
            </w:r>
            <w:r w:rsidR="00681E21" w:rsidRPr="00AE7D12">
              <w:rPr>
                <w:rFonts w:eastAsia="Arial" w:cs="Arial"/>
                <w:b/>
                <w:sz w:val="20"/>
                <w:szCs w:val="22"/>
              </w:rPr>
              <w:t>(enter initials)</w:t>
            </w: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0BDF4D8"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266EB38"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515A9AA2"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1BEB2A25"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BC997F" w14:textId="77777777" w:rsidR="00063E72" w:rsidRPr="00EB6016" w:rsidRDefault="00063E72" w:rsidP="00063E72">
            <w:pPr>
              <w:spacing w:line="259" w:lineRule="auto"/>
              <w:jc w:val="left"/>
              <w:rPr>
                <w:sz w:val="20"/>
                <w:szCs w:val="22"/>
              </w:rPr>
            </w:pPr>
          </w:p>
        </w:tc>
        <w:tc>
          <w:tcPr>
            <w:tcW w:w="5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9595EA1"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448FF086" w14:textId="77777777" w:rsidR="00063E72" w:rsidRPr="00EB6016" w:rsidRDefault="00063E72" w:rsidP="00063E72">
            <w:pPr>
              <w:spacing w:line="259" w:lineRule="auto"/>
              <w:jc w:val="left"/>
              <w:rPr>
                <w:sz w:val="20"/>
                <w:szCs w:val="22"/>
              </w:rPr>
            </w:pPr>
          </w:p>
        </w:tc>
        <w:tc>
          <w:tcPr>
            <w:tcW w:w="510" w:type="dxa"/>
            <w:tcBorders>
              <w:top w:val="single" w:sz="4" w:space="0" w:color="000000"/>
              <w:left w:val="single" w:sz="4" w:space="0" w:color="000000"/>
              <w:bottom w:val="single" w:sz="4" w:space="0" w:color="000000"/>
              <w:right w:val="single" w:sz="4" w:space="0" w:color="000000"/>
            </w:tcBorders>
          </w:tcPr>
          <w:p w14:paraId="610B1AB2"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20C0C97" w14:textId="77777777" w:rsidR="00063E72" w:rsidRPr="00EB6016" w:rsidRDefault="00063E72" w:rsidP="00063E72">
            <w:pPr>
              <w:spacing w:line="259" w:lineRule="auto"/>
              <w:jc w:val="left"/>
              <w:rPr>
                <w:sz w:val="20"/>
                <w:szCs w:val="22"/>
              </w:rPr>
            </w:pPr>
          </w:p>
        </w:tc>
        <w:tc>
          <w:tcPr>
            <w:tcW w:w="51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34B9BE1" w14:textId="77777777" w:rsidR="00063E72" w:rsidRPr="00EB6016" w:rsidRDefault="00063E72" w:rsidP="00063E72">
            <w:pPr>
              <w:spacing w:line="259" w:lineRule="auto"/>
              <w:jc w:val="left"/>
              <w:rPr>
                <w:sz w:val="20"/>
                <w:szCs w:val="22"/>
              </w:rPr>
            </w:pPr>
          </w:p>
        </w:tc>
      </w:tr>
    </w:tbl>
    <w:p w14:paraId="1375A559" w14:textId="77777777" w:rsidR="00536B29" w:rsidRDefault="00536B29" w:rsidP="0013010E">
      <w:pPr>
        <w:rPr>
          <w:sz w:val="18"/>
          <w:szCs w:val="20"/>
        </w:rPr>
      </w:pPr>
    </w:p>
    <w:sectPr w:rsidR="00536B29"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1A817" w14:textId="77777777" w:rsidR="00402A77" w:rsidRDefault="00402A77">
      <w:r>
        <w:separator/>
      </w:r>
    </w:p>
  </w:endnote>
  <w:endnote w:type="continuationSeparator" w:id="0">
    <w:p w14:paraId="3BE1D0BC" w14:textId="77777777" w:rsidR="00402A77" w:rsidRDefault="00402A77">
      <w:r>
        <w:continuationSeparator/>
      </w:r>
    </w:p>
  </w:endnote>
  <w:endnote w:type="continuationNotice" w:id="1">
    <w:p w14:paraId="775580E7" w14:textId="77777777" w:rsidR="00402A77" w:rsidRDefault="00402A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E199" w14:textId="77777777" w:rsidR="00402A77" w:rsidRDefault="00402A77">
      <w:r>
        <w:separator/>
      </w:r>
    </w:p>
  </w:footnote>
  <w:footnote w:type="continuationSeparator" w:id="0">
    <w:p w14:paraId="2C8C9AC9" w14:textId="77777777" w:rsidR="00402A77" w:rsidRDefault="00402A77">
      <w:r>
        <w:continuationSeparator/>
      </w:r>
    </w:p>
  </w:footnote>
  <w:footnote w:type="continuationNotice" w:id="1">
    <w:p w14:paraId="049A7AAC" w14:textId="77777777" w:rsidR="00402A77" w:rsidRDefault="00402A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46EA"/>
    <w:multiLevelType w:val="hybridMultilevel"/>
    <w:tmpl w:val="797E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14BB"/>
    <w:multiLevelType w:val="multilevel"/>
    <w:tmpl w:val="EF64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7550A"/>
    <w:multiLevelType w:val="hybridMultilevel"/>
    <w:tmpl w:val="10FAC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3D00"/>
    <w:multiLevelType w:val="hybridMultilevel"/>
    <w:tmpl w:val="CCD8F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2E1685"/>
    <w:multiLevelType w:val="hybridMultilevel"/>
    <w:tmpl w:val="2A8492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830601"/>
    <w:multiLevelType w:val="multilevel"/>
    <w:tmpl w:val="FBE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052FB"/>
    <w:multiLevelType w:val="hybridMultilevel"/>
    <w:tmpl w:val="4326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96A13"/>
    <w:multiLevelType w:val="hybridMultilevel"/>
    <w:tmpl w:val="75E8D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0F240F01"/>
    <w:multiLevelType w:val="hybridMultilevel"/>
    <w:tmpl w:val="B2948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A91479"/>
    <w:multiLevelType w:val="hybridMultilevel"/>
    <w:tmpl w:val="41DC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E5B30"/>
    <w:multiLevelType w:val="hybridMultilevel"/>
    <w:tmpl w:val="36FC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25761"/>
    <w:multiLevelType w:val="hybridMultilevel"/>
    <w:tmpl w:val="E4B4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2300F"/>
    <w:multiLevelType w:val="hybridMultilevel"/>
    <w:tmpl w:val="2F7608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F27BEB"/>
    <w:multiLevelType w:val="hybridMultilevel"/>
    <w:tmpl w:val="DB5AA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D62E4"/>
    <w:multiLevelType w:val="hybridMultilevel"/>
    <w:tmpl w:val="07E4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77EEE"/>
    <w:multiLevelType w:val="hybridMultilevel"/>
    <w:tmpl w:val="ABE0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93463"/>
    <w:multiLevelType w:val="multilevel"/>
    <w:tmpl w:val="D56E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A6BF1"/>
    <w:multiLevelType w:val="hybridMultilevel"/>
    <w:tmpl w:val="3F0AF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27C7E"/>
    <w:multiLevelType w:val="hybridMultilevel"/>
    <w:tmpl w:val="F2321F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1E468A"/>
    <w:multiLevelType w:val="hybridMultilevel"/>
    <w:tmpl w:val="E2EA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23204"/>
    <w:multiLevelType w:val="hybridMultilevel"/>
    <w:tmpl w:val="14C4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17DCE"/>
    <w:multiLevelType w:val="hybridMultilevel"/>
    <w:tmpl w:val="17BA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250C9"/>
    <w:multiLevelType w:val="hybridMultilevel"/>
    <w:tmpl w:val="CCA09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55770"/>
    <w:multiLevelType w:val="hybridMultilevel"/>
    <w:tmpl w:val="20A6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718AB"/>
    <w:multiLevelType w:val="multilevel"/>
    <w:tmpl w:val="339A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4604F"/>
    <w:multiLevelType w:val="multilevel"/>
    <w:tmpl w:val="1C6A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050BF"/>
    <w:multiLevelType w:val="multilevel"/>
    <w:tmpl w:val="EA58B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1454B7"/>
    <w:multiLevelType w:val="hybridMultilevel"/>
    <w:tmpl w:val="7F34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9B532F"/>
    <w:multiLevelType w:val="hybridMultilevel"/>
    <w:tmpl w:val="E624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01D7E"/>
    <w:multiLevelType w:val="hybridMultilevel"/>
    <w:tmpl w:val="5EE4A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B1561"/>
    <w:multiLevelType w:val="hybridMultilevel"/>
    <w:tmpl w:val="A668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E475D"/>
    <w:multiLevelType w:val="hybridMultilevel"/>
    <w:tmpl w:val="E272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D267C"/>
    <w:multiLevelType w:val="hybridMultilevel"/>
    <w:tmpl w:val="52D8B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6011ED"/>
    <w:multiLevelType w:val="multilevel"/>
    <w:tmpl w:val="E49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75B76"/>
    <w:multiLevelType w:val="hybridMultilevel"/>
    <w:tmpl w:val="1C60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62726">
    <w:abstractNumId w:val="19"/>
  </w:num>
  <w:num w:numId="2" w16cid:durableId="1603613783">
    <w:abstractNumId w:val="17"/>
  </w:num>
  <w:num w:numId="3" w16cid:durableId="924991964">
    <w:abstractNumId w:val="16"/>
  </w:num>
  <w:num w:numId="4" w16cid:durableId="1318458738">
    <w:abstractNumId w:val="25"/>
  </w:num>
  <w:num w:numId="5" w16cid:durableId="2003897917">
    <w:abstractNumId w:val="26"/>
  </w:num>
  <w:num w:numId="6" w16cid:durableId="2048409460">
    <w:abstractNumId w:val="34"/>
  </w:num>
  <w:num w:numId="7" w16cid:durableId="586503673">
    <w:abstractNumId w:val="5"/>
  </w:num>
  <w:num w:numId="8" w16cid:durableId="758983352">
    <w:abstractNumId w:val="4"/>
  </w:num>
  <w:num w:numId="9" w16cid:durableId="1578127956">
    <w:abstractNumId w:val="13"/>
  </w:num>
  <w:num w:numId="10" w16cid:durableId="1703358661">
    <w:abstractNumId w:val="1"/>
  </w:num>
  <w:num w:numId="11" w16cid:durableId="101455790">
    <w:abstractNumId w:val="10"/>
  </w:num>
  <w:num w:numId="12" w16cid:durableId="1925871323">
    <w:abstractNumId w:val="2"/>
  </w:num>
  <w:num w:numId="13" w16cid:durableId="1452701646">
    <w:abstractNumId w:val="30"/>
  </w:num>
  <w:num w:numId="14" w16cid:durableId="1256204425">
    <w:abstractNumId w:val="24"/>
  </w:num>
  <w:num w:numId="15" w16cid:durableId="1360551140">
    <w:abstractNumId w:val="31"/>
  </w:num>
  <w:num w:numId="16" w16cid:durableId="1632324097">
    <w:abstractNumId w:val="27"/>
  </w:num>
  <w:num w:numId="17" w16cid:durableId="139151191">
    <w:abstractNumId w:val="8"/>
  </w:num>
  <w:num w:numId="18" w16cid:durableId="561453361">
    <w:abstractNumId w:val="12"/>
  </w:num>
  <w:num w:numId="19" w16cid:durableId="388186296">
    <w:abstractNumId w:val="7"/>
  </w:num>
  <w:num w:numId="20" w16cid:durableId="1613244142">
    <w:abstractNumId w:val="18"/>
  </w:num>
  <w:num w:numId="21" w16cid:durableId="84807266">
    <w:abstractNumId w:val="33"/>
  </w:num>
  <w:num w:numId="22" w16cid:durableId="1721056870">
    <w:abstractNumId w:val="3"/>
  </w:num>
  <w:num w:numId="23" w16cid:durableId="1469275222">
    <w:abstractNumId w:val="11"/>
  </w:num>
  <w:num w:numId="24" w16cid:durableId="699940923">
    <w:abstractNumId w:val="21"/>
  </w:num>
  <w:num w:numId="25" w16cid:durableId="1392927357">
    <w:abstractNumId w:val="6"/>
  </w:num>
  <w:num w:numId="26" w16cid:durableId="1318341977">
    <w:abstractNumId w:val="9"/>
  </w:num>
  <w:num w:numId="27" w16cid:durableId="1310134101">
    <w:abstractNumId w:val="32"/>
  </w:num>
  <w:num w:numId="28" w16cid:durableId="1604993448">
    <w:abstractNumId w:val="35"/>
  </w:num>
  <w:num w:numId="29" w16cid:durableId="1185486754">
    <w:abstractNumId w:val="20"/>
  </w:num>
  <w:num w:numId="30" w16cid:durableId="1460294664">
    <w:abstractNumId w:val="0"/>
  </w:num>
  <w:num w:numId="31" w16cid:durableId="735474574">
    <w:abstractNumId w:val="22"/>
  </w:num>
  <w:num w:numId="32" w16cid:durableId="1708140278">
    <w:abstractNumId w:val="29"/>
  </w:num>
  <w:num w:numId="33" w16cid:durableId="941692140">
    <w:abstractNumId w:val="28"/>
  </w:num>
  <w:num w:numId="34" w16cid:durableId="772827361">
    <w:abstractNumId w:val="23"/>
  </w:num>
  <w:num w:numId="35" w16cid:durableId="1093159861">
    <w:abstractNumId w:val="15"/>
  </w:num>
  <w:num w:numId="36" w16cid:durableId="1252197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1BDB"/>
    <w:rsid w:val="00012321"/>
    <w:rsid w:val="00021A60"/>
    <w:rsid w:val="00025700"/>
    <w:rsid w:val="00036244"/>
    <w:rsid w:val="0005094A"/>
    <w:rsid w:val="00054ADA"/>
    <w:rsid w:val="0005736B"/>
    <w:rsid w:val="0006119A"/>
    <w:rsid w:val="00063E72"/>
    <w:rsid w:val="000720A4"/>
    <w:rsid w:val="0007409F"/>
    <w:rsid w:val="000760E5"/>
    <w:rsid w:val="00093726"/>
    <w:rsid w:val="00093DCF"/>
    <w:rsid w:val="000961B3"/>
    <w:rsid w:val="000A4B01"/>
    <w:rsid w:val="000B1C8E"/>
    <w:rsid w:val="000B3625"/>
    <w:rsid w:val="000B4346"/>
    <w:rsid w:val="000C0D1D"/>
    <w:rsid w:val="000C163A"/>
    <w:rsid w:val="000C55B9"/>
    <w:rsid w:val="000C6E97"/>
    <w:rsid w:val="000C7EBE"/>
    <w:rsid w:val="000E0753"/>
    <w:rsid w:val="000E1037"/>
    <w:rsid w:val="000E1201"/>
    <w:rsid w:val="000E54C2"/>
    <w:rsid w:val="000F0914"/>
    <w:rsid w:val="000F0B22"/>
    <w:rsid w:val="000F3447"/>
    <w:rsid w:val="000F4A8D"/>
    <w:rsid w:val="000F4CE1"/>
    <w:rsid w:val="000F664A"/>
    <w:rsid w:val="00101261"/>
    <w:rsid w:val="001049E4"/>
    <w:rsid w:val="00104D2C"/>
    <w:rsid w:val="00105A15"/>
    <w:rsid w:val="00112328"/>
    <w:rsid w:val="001136D0"/>
    <w:rsid w:val="00114911"/>
    <w:rsid w:val="00116AE9"/>
    <w:rsid w:val="00121ECB"/>
    <w:rsid w:val="001222B9"/>
    <w:rsid w:val="0013010E"/>
    <w:rsid w:val="0013222A"/>
    <w:rsid w:val="00136C3C"/>
    <w:rsid w:val="00140541"/>
    <w:rsid w:val="001410B2"/>
    <w:rsid w:val="001411FD"/>
    <w:rsid w:val="00151228"/>
    <w:rsid w:val="00152714"/>
    <w:rsid w:val="001576ED"/>
    <w:rsid w:val="001867F6"/>
    <w:rsid w:val="00190FAB"/>
    <w:rsid w:val="00195F41"/>
    <w:rsid w:val="001976A9"/>
    <w:rsid w:val="001A246E"/>
    <w:rsid w:val="001C55E1"/>
    <w:rsid w:val="001D3A90"/>
    <w:rsid w:val="001D458E"/>
    <w:rsid w:val="001D4AF4"/>
    <w:rsid w:val="001D68FE"/>
    <w:rsid w:val="001F516D"/>
    <w:rsid w:val="001F6D8B"/>
    <w:rsid w:val="00202E98"/>
    <w:rsid w:val="00205B30"/>
    <w:rsid w:val="00217B6B"/>
    <w:rsid w:val="00223CAE"/>
    <w:rsid w:val="00224D60"/>
    <w:rsid w:val="00235168"/>
    <w:rsid w:val="00242F9E"/>
    <w:rsid w:val="00261BBC"/>
    <w:rsid w:val="00271E81"/>
    <w:rsid w:val="00273624"/>
    <w:rsid w:val="00274105"/>
    <w:rsid w:val="0029466F"/>
    <w:rsid w:val="00295F59"/>
    <w:rsid w:val="002A08EA"/>
    <w:rsid w:val="002A0AD9"/>
    <w:rsid w:val="002A7744"/>
    <w:rsid w:val="002B016E"/>
    <w:rsid w:val="002B4E23"/>
    <w:rsid w:val="002B6234"/>
    <w:rsid w:val="002D4BA7"/>
    <w:rsid w:val="002D7FF6"/>
    <w:rsid w:val="002E083F"/>
    <w:rsid w:val="002F1A77"/>
    <w:rsid w:val="002F482F"/>
    <w:rsid w:val="00304EAB"/>
    <w:rsid w:val="003051AB"/>
    <w:rsid w:val="0030777D"/>
    <w:rsid w:val="003147EB"/>
    <w:rsid w:val="003155D1"/>
    <w:rsid w:val="00326AA5"/>
    <w:rsid w:val="00327627"/>
    <w:rsid w:val="00335881"/>
    <w:rsid w:val="00336AD1"/>
    <w:rsid w:val="00342F58"/>
    <w:rsid w:val="003441A9"/>
    <w:rsid w:val="00345301"/>
    <w:rsid w:val="00351A62"/>
    <w:rsid w:val="003566A5"/>
    <w:rsid w:val="0035719D"/>
    <w:rsid w:val="003735FD"/>
    <w:rsid w:val="00376FDD"/>
    <w:rsid w:val="00387D8B"/>
    <w:rsid w:val="00396B13"/>
    <w:rsid w:val="003A09EB"/>
    <w:rsid w:val="003A58D1"/>
    <w:rsid w:val="003A650E"/>
    <w:rsid w:val="003B07F0"/>
    <w:rsid w:val="003B3968"/>
    <w:rsid w:val="003C4238"/>
    <w:rsid w:val="003D0BA5"/>
    <w:rsid w:val="003D67F5"/>
    <w:rsid w:val="003E12B5"/>
    <w:rsid w:val="003E3B6F"/>
    <w:rsid w:val="003E5803"/>
    <w:rsid w:val="003F05DC"/>
    <w:rsid w:val="00402A77"/>
    <w:rsid w:val="00404E26"/>
    <w:rsid w:val="00407A98"/>
    <w:rsid w:val="004103EE"/>
    <w:rsid w:val="0041137C"/>
    <w:rsid w:val="004118DF"/>
    <w:rsid w:val="004137F6"/>
    <w:rsid w:val="00414137"/>
    <w:rsid w:val="0041508B"/>
    <w:rsid w:val="0041535F"/>
    <w:rsid w:val="00420F59"/>
    <w:rsid w:val="004265BA"/>
    <w:rsid w:val="00431FF6"/>
    <w:rsid w:val="0043293A"/>
    <w:rsid w:val="00437158"/>
    <w:rsid w:val="004400BA"/>
    <w:rsid w:val="00442435"/>
    <w:rsid w:val="00447002"/>
    <w:rsid w:val="00452BDD"/>
    <w:rsid w:val="0045385C"/>
    <w:rsid w:val="0045546A"/>
    <w:rsid w:val="004622A8"/>
    <w:rsid w:val="0046274B"/>
    <w:rsid w:val="004729C1"/>
    <w:rsid w:val="0048648C"/>
    <w:rsid w:val="004906EB"/>
    <w:rsid w:val="004A060F"/>
    <w:rsid w:val="004A207D"/>
    <w:rsid w:val="004B4061"/>
    <w:rsid w:val="004B4824"/>
    <w:rsid w:val="004B6D1C"/>
    <w:rsid w:val="004C19B1"/>
    <w:rsid w:val="004C4C11"/>
    <w:rsid w:val="004E4AC6"/>
    <w:rsid w:val="004E71A3"/>
    <w:rsid w:val="004F0A38"/>
    <w:rsid w:val="004F60E3"/>
    <w:rsid w:val="00514100"/>
    <w:rsid w:val="00516E0C"/>
    <w:rsid w:val="005230C3"/>
    <w:rsid w:val="00525E8C"/>
    <w:rsid w:val="0052719D"/>
    <w:rsid w:val="00536B29"/>
    <w:rsid w:val="00540F08"/>
    <w:rsid w:val="00542BFE"/>
    <w:rsid w:val="00551CBD"/>
    <w:rsid w:val="005572DA"/>
    <w:rsid w:val="00567748"/>
    <w:rsid w:val="00584F27"/>
    <w:rsid w:val="005A1297"/>
    <w:rsid w:val="005B1EFC"/>
    <w:rsid w:val="005B59CE"/>
    <w:rsid w:val="005C4613"/>
    <w:rsid w:val="005C6264"/>
    <w:rsid w:val="005D0E0B"/>
    <w:rsid w:val="005E3837"/>
    <w:rsid w:val="005F7F67"/>
    <w:rsid w:val="006120B3"/>
    <w:rsid w:val="00614CD2"/>
    <w:rsid w:val="006219B1"/>
    <w:rsid w:val="00623E76"/>
    <w:rsid w:val="00630110"/>
    <w:rsid w:val="006310B3"/>
    <w:rsid w:val="00635CF6"/>
    <w:rsid w:val="00646E25"/>
    <w:rsid w:val="0065247B"/>
    <w:rsid w:val="006532D0"/>
    <w:rsid w:val="00660B94"/>
    <w:rsid w:val="0066100D"/>
    <w:rsid w:val="006613FD"/>
    <w:rsid w:val="006715C2"/>
    <w:rsid w:val="00672B7E"/>
    <w:rsid w:val="00673C6F"/>
    <w:rsid w:val="00674F8C"/>
    <w:rsid w:val="00681E21"/>
    <w:rsid w:val="00683B6F"/>
    <w:rsid w:val="00684B89"/>
    <w:rsid w:val="00686E52"/>
    <w:rsid w:val="006970CC"/>
    <w:rsid w:val="006979D0"/>
    <w:rsid w:val="006A2F60"/>
    <w:rsid w:val="006A458F"/>
    <w:rsid w:val="006A4F15"/>
    <w:rsid w:val="006B0E38"/>
    <w:rsid w:val="006C30EB"/>
    <w:rsid w:val="006D0604"/>
    <w:rsid w:val="006D3FD9"/>
    <w:rsid w:val="006D51AE"/>
    <w:rsid w:val="006F257A"/>
    <w:rsid w:val="006F4213"/>
    <w:rsid w:val="007009C8"/>
    <w:rsid w:val="00707D56"/>
    <w:rsid w:val="0071512A"/>
    <w:rsid w:val="00716280"/>
    <w:rsid w:val="007204CC"/>
    <w:rsid w:val="00723F76"/>
    <w:rsid w:val="00724E04"/>
    <w:rsid w:val="0074262D"/>
    <w:rsid w:val="007464C1"/>
    <w:rsid w:val="00754FB1"/>
    <w:rsid w:val="00756F4A"/>
    <w:rsid w:val="0076267C"/>
    <w:rsid w:val="00766FBE"/>
    <w:rsid w:val="0076718D"/>
    <w:rsid w:val="00770A01"/>
    <w:rsid w:val="007723CC"/>
    <w:rsid w:val="00780133"/>
    <w:rsid w:val="00782523"/>
    <w:rsid w:val="0078517B"/>
    <w:rsid w:val="007A3692"/>
    <w:rsid w:val="007B00A3"/>
    <w:rsid w:val="007B10C6"/>
    <w:rsid w:val="007C0998"/>
    <w:rsid w:val="007D1DF5"/>
    <w:rsid w:val="007D2051"/>
    <w:rsid w:val="007E35DB"/>
    <w:rsid w:val="007E7D29"/>
    <w:rsid w:val="0080028A"/>
    <w:rsid w:val="008011CD"/>
    <w:rsid w:val="00803C8D"/>
    <w:rsid w:val="008078D2"/>
    <w:rsid w:val="00813809"/>
    <w:rsid w:val="0082184F"/>
    <w:rsid w:val="008219A5"/>
    <w:rsid w:val="008222EA"/>
    <w:rsid w:val="0082326F"/>
    <w:rsid w:val="00832830"/>
    <w:rsid w:val="0084374D"/>
    <w:rsid w:val="00844D5A"/>
    <w:rsid w:val="008714A5"/>
    <w:rsid w:val="008730FA"/>
    <w:rsid w:val="00873A5A"/>
    <w:rsid w:val="00877314"/>
    <w:rsid w:val="0088464C"/>
    <w:rsid w:val="008A2A20"/>
    <w:rsid w:val="008A6FB3"/>
    <w:rsid w:val="008B24BA"/>
    <w:rsid w:val="008B389A"/>
    <w:rsid w:val="008B38C4"/>
    <w:rsid w:val="008D22AF"/>
    <w:rsid w:val="008D3652"/>
    <w:rsid w:val="008D7AD2"/>
    <w:rsid w:val="008E3CA3"/>
    <w:rsid w:val="008E460B"/>
    <w:rsid w:val="008E551D"/>
    <w:rsid w:val="008F1A31"/>
    <w:rsid w:val="008F2ACE"/>
    <w:rsid w:val="00902F2C"/>
    <w:rsid w:val="00914785"/>
    <w:rsid w:val="00916276"/>
    <w:rsid w:val="0092035A"/>
    <w:rsid w:val="009203D7"/>
    <w:rsid w:val="00925CCD"/>
    <w:rsid w:val="00927769"/>
    <w:rsid w:val="00930A7C"/>
    <w:rsid w:val="00931017"/>
    <w:rsid w:val="0093169B"/>
    <w:rsid w:val="0093708F"/>
    <w:rsid w:val="00940C47"/>
    <w:rsid w:val="0094489C"/>
    <w:rsid w:val="00955D42"/>
    <w:rsid w:val="00964F99"/>
    <w:rsid w:val="00971E3F"/>
    <w:rsid w:val="00990C1C"/>
    <w:rsid w:val="00990EC2"/>
    <w:rsid w:val="009A1242"/>
    <w:rsid w:val="009B2BAA"/>
    <w:rsid w:val="009B67FF"/>
    <w:rsid w:val="009E0B7F"/>
    <w:rsid w:val="00A0343C"/>
    <w:rsid w:val="00A13E31"/>
    <w:rsid w:val="00A20820"/>
    <w:rsid w:val="00A2581D"/>
    <w:rsid w:val="00A272D3"/>
    <w:rsid w:val="00A4233A"/>
    <w:rsid w:val="00A43A26"/>
    <w:rsid w:val="00A45914"/>
    <w:rsid w:val="00A81BBD"/>
    <w:rsid w:val="00A8259E"/>
    <w:rsid w:val="00A9607C"/>
    <w:rsid w:val="00A96788"/>
    <w:rsid w:val="00AA342E"/>
    <w:rsid w:val="00AC1ED1"/>
    <w:rsid w:val="00AC5421"/>
    <w:rsid w:val="00AC5692"/>
    <w:rsid w:val="00AD23FD"/>
    <w:rsid w:val="00AD297C"/>
    <w:rsid w:val="00AD338E"/>
    <w:rsid w:val="00AE3CC2"/>
    <w:rsid w:val="00AE73F7"/>
    <w:rsid w:val="00AE7D12"/>
    <w:rsid w:val="00B003B0"/>
    <w:rsid w:val="00B03FC2"/>
    <w:rsid w:val="00B12C7A"/>
    <w:rsid w:val="00B239DD"/>
    <w:rsid w:val="00B24C4E"/>
    <w:rsid w:val="00B3401B"/>
    <w:rsid w:val="00B40D6E"/>
    <w:rsid w:val="00B4676B"/>
    <w:rsid w:val="00B504AC"/>
    <w:rsid w:val="00B678C4"/>
    <w:rsid w:val="00B80104"/>
    <w:rsid w:val="00B814A6"/>
    <w:rsid w:val="00B81B70"/>
    <w:rsid w:val="00BA0501"/>
    <w:rsid w:val="00BB32A4"/>
    <w:rsid w:val="00BB358D"/>
    <w:rsid w:val="00BB4FCE"/>
    <w:rsid w:val="00BC3CF8"/>
    <w:rsid w:val="00BC3F54"/>
    <w:rsid w:val="00BC5051"/>
    <w:rsid w:val="00BC6799"/>
    <w:rsid w:val="00BD249B"/>
    <w:rsid w:val="00BD750D"/>
    <w:rsid w:val="00BE107A"/>
    <w:rsid w:val="00BE1EF3"/>
    <w:rsid w:val="00BE69E7"/>
    <w:rsid w:val="00BE7C89"/>
    <w:rsid w:val="00BF303A"/>
    <w:rsid w:val="00BF3B6F"/>
    <w:rsid w:val="00C007F7"/>
    <w:rsid w:val="00C11D1B"/>
    <w:rsid w:val="00C15217"/>
    <w:rsid w:val="00C16B3F"/>
    <w:rsid w:val="00C50106"/>
    <w:rsid w:val="00C52996"/>
    <w:rsid w:val="00C5355B"/>
    <w:rsid w:val="00C53EA2"/>
    <w:rsid w:val="00C62FA1"/>
    <w:rsid w:val="00C676A7"/>
    <w:rsid w:val="00C71CDA"/>
    <w:rsid w:val="00C722AD"/>
    <w:rsid w:val="00C73B09"/>
    <w:rsid w:val="00C7662C"/>
    <w:rsid w:val="00C86C54"/>
    <w:rsid w:val="00CA6B0C"/>
    <w:rsid w:val="00CD2211"/>
    <w:rsid w:val="00CE2C9C"/>
    <w:rsid w:val="00CE44EB"/>
    <w:rsid w:val="00CF2CA7"/>
    <w:rsid w:val="00D1533D"/>
    <w:rsid w:val="00D17581"/>
    <w:rsid w:val="00D204F4"/>
    <w:rsid w:val="00D20EBD"/>
    <w:rsid w:val="00D33DEB"/>
    <w:rsid w:val="00D44850"/>
    <w:rsid w:val="00D527A6"/>
    <w:rsid w:val="00D549F5"/>
    <w:rsid w:val="00D57B06"/>
    <w:rsid w:val="00D60A75"/>
    <w:rsid w:val="00D62EF1"/>
    <w:rsid w:val="00D64D76"/>
    <w:rsid w:val="00D65820"/>
    <w:rsid w:val="00D66D93"/>
    <w:rsid w:val="00D67CF5"/>
    <w:rsid w:val="00D7720C"/>
    <w:rsid w:val="00D81545"/>
    <w:rsid w:val="00D81A60"/>
    <w:rsid w:val="00D84A66"/>
    <w:rsid w:val="00D90A3C"/>
    <w:rsid w:val="00D9158A"/>
    <w:rsid w:val="00D91C01"/>
    <w:rsid w:val="00D923E6"/>
    <w:rsid w:val="00D95195"/>
    <w:rsid w:val="00D96CEB"/>
    <w:rsid w:val="00DA54D2"/>
    <w:rsid w:val="00DA6662"/>
    <w:rsid w:val="00DA7EEE"/>
    <w:rsid w:val="00DB05CE"/>
    <w:rsid w:val="00DB5005"/>
    <w:rsid w:val="00DC1ACE"/>
    <w:rsid w:val="00DC3323"/>
    <w:rsid w:val="00DC4E12"/>
    <w:rsid w:val="00DD2194"/>
    <w:rsid w:val="00DD5F98"/>
    <w:rsid w:val="00DE0FF3"/>
    <w:rsid w:val="00DE1120"/>
    <w:rsid w:val="00DE2E86"/>
    <w:rsid w:val="00DE6C0B"/>
    <w:rsid w:val="00DF7834"/>
    <w:rsid w:val="00E106A7"/>
    <w:rsid w:val="00E122DF"/>
    <w:rsid w:val="00E308C1"/>
    <w:rsid w:val="00E33866"/>
    <w:rsid w:val="00E360BD"/>
    <w:rsid w:val="00E407CE"/>
    <w:rsid w:val="00E57124"/>
    <w:rsid w:val="00E811BF"/>
    <w:rsid w:val="00E844B4"/>
    <w:rsid w:val="00E87501"/>
    <w:rsid w:val="00E9296B"/>
    <w:rsid w:val="00E93D97"/>
    <w:rsid w:val="00EA02D5"/>
    <w:rsid w:val="00EA2169"/>
    <w:rsid w:val="00EA4DD3"/>
    <w:rsid w:val="00EB4EEE"/>
    <w:rsid w:val="00EB6016"/>
    <w:rsid w:val="00ED015A"/>
    <w:rsid w:val="00ED16EC"/>
    <w:rsid w:val="00ED670E"/>
    <w:rsid w:val="00ED784F"/>
    <w:rsid w:val="00EE362D"/>
    <w:rsid w:val="00EF0D2F"/>
    <w:rsid w:val="00EF3A70"/>
    <w:rsid w:val="00EF490E"/>
    <w:rsid w:val="00F0062C"/>
    <w:rsid w:val="00F118C2"/>
    <w:rsid w:val="00F14BDF"/>
    <w:rsid w:val="00F16F33"/>
    <w:rsid w:val="00F17797"/>
    <w:rsid w:val="00F213DA"/>
    <w:rsid w:val="00F2587B"/>
    <w:rsid w:val="00F2686C"/>
    <w:rsid w:val="00F304F8"/>
    <w:rsid w:val="00F30539"/>
    <w:rsid w:val="00F309C4"/>
    <w:rsid w:val="00F31BDA"/>
    <w:rsid w:val="00F36F95"/>
    <w:rsid w:val="00F40FAA"/>
    <w:rsid w:val="00F43CEF"/>
    <w:rsid w:val="00F47A8D"/>
    <w:rsid w:val="00F52834"/>
    <w:rsid w:val="00F52F6D"/>
    <w:rsid w:val="00F62B46"/>
    <w:rsid w:val="00F65DF1"/>
    <w:rsid w:val="00F7089A"/>
    <w:rsid w:val="00F84492"/>
    <w:rsid w:val="00F86A85"/>
    <w:rsid w:val="00F87016"/>
    <w:rsid w:val="00F946A1"/>
    <w:rsid w:val="00FA099F"/>
    <w:rsid w:val="00FA7097"/>
    <w:rsid w:val="00FB1A14"/>
    <w:rsid w:val="00FB2770"/>
    <w:rsid w:val="00FB43AE"/>
    <w:rsid w:val="00FB4A6B"/>
    <w:rsid w:val="00FC0015"/>
    <w:rsid w:val="00FC01B0"/>
    <w:rsid w:val="00FC4983"/>
    <w:rsid w:val="00FE6BD9"/>
    <w:rsid w:val="00FE7AEC"/>
    <w:rsid w:val="00FF6862"/>
    <w:rsid w:val="032DCC69"/>
    <w:rsid w:val="23B4B61E"/>
    <w:rsid w:val="2788D7EA"/>
    <w:rsid w:val="32031E2B"/>
    <w:rsid w:val="323ECAA4"/>
    <w:rsid w:val="41B64ED3"/>
    <w:rsid w:val="485CA11F"/>
    <w:rsid w:val="4A1028CA"/>
    <w:rsid w:val="4D6D0B8C"/>
    <w:rsid w:val="516C5905"/>
    <w:rsid w:val="5B4C358D"/>
    <w:rsid w:val="67605532"/>
    <w:rsid w:val="7252243F"/>
    <w:rsid w:val="76128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B368DE46-CD2A-460C-A72C-24FA6123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paragraph" w:styleId="Heading3">
    <w:name w:val="heading 3"/>
    <w:basedOn w:val="Normal"/>
    <w:next w:val="Normal"/>
    <w:link w:val="Heading3Char"/>
    <w:semiHidden/>
    <w:unhideWhenUsed/>
    <w:qFormat/>
    <w:rsid w:val="00F2686C"/>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semiHidden/>
    <w:unhideWhenUsed/>
    <w:qFormat/>
    <w:rsid w:val="006310B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character" w:styleId="UnresolvedMention">
    <w:name w:val="Unresolved Mention"/>
    <w:basedOn w:val="DefaultParagraphFont"/>
    <w:uiPriority w:val="99"/>
    <w:semiHidden/>
    <w:unhideWhenUsed/>
    <w:rsid w:val="004118DF"/>
    <w:rPr>
      <w:color w:val="605E5C"/>
      <w:shd w:val="clear" w:color="auto" w:fill="E1DFDD"/>
    </w:rPr>
  </w:style>
  <w:style w:type="paragraph" w:styleId="ListParagraph">
    <w:name w:val="List Paragraph"/>
    <w:basedOn w:val="Normal"/>
    <w:uiPriority w:val="34"/>
    <w:qFormat/>
    <w:rsid w:val="00420F59"/>
    <w:pPr>
      <w:ind w:left="720"/>
      <w:contextualSpacing/>
    </w:pPr>
  </w:style>
  <w:style w:type="paragraph" w:customStyle="1" w:styleId="Default">
    <w:name w:val="Default"/>
    <w:rsid w:val="00C86C54"/>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310B3"/>
    <w:rPr>
      <w:rFonts w:asciiTheme="majorHAnsi" w:eastAsiaTheme="majorEastAsia" w:hAnsiTheme="majorHAnsi" w:cstheme="majorBidi"/>
      <w:color w:val="2E74B5" w:themeColor="accent1" w:themeShade="BF"/>
      <w:sz w:val="22"/>
      <w:szCs w:val="24"/>
    </w:rPr>
  </w:style>
  <w:style w:type="character" w:customStyle="1" w:styleId="Heading3Char">
    <w:name w:val="Heading 3 Char"/>
    <w:basedOn w:val="DefaultParagraphFont"/>
    <w:link w:val="Heading3"/>
    <w:semiHidden/>
    <w:rsid w:val="00F2686C"/>
    <w:rPr>
      <w:rFonts w:asciiTheme="majorHAnsi" w:eastAsiaTheme="majorEastAsia" w:hAnsiTheme="majorHAnsi" w:cstheme="majorBidi"/>
      <w:color w:val="1F4D78" w:themeColor="accent1" w:themeShade="7F"/>
      <w:sz w:val="24"/>
      <w:szCs w:val="24"/>
    </w:rPr>
  </w:style>
  <w:style w:type="table" w:customStyle="1" w:styleId="TableGrid0">
    <w:name w:val="TableGrid"/>
    <w:rsid w:val="004C19B1"/>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rsid w:val="00F30539"/>
    <w:pPr>
      <w:spacing w:line="240" w:lineRule="auto"/>
    </w:pPr>
    <w:rPr>
      <w:b/>
      <w:bCs/>
    </w:rPr>
  </w:style>
  <w:style w:type="character" w:customStyle="1" w:styleId="CommentSubjectChar">
    <w:name w:val="Comment Subject Char"/>
    <w:basedOn w:val="CommentTextChar"/>
    <w:link w:val="CommentSubject"/>
    <w:rsid w:val="00F30539"/>
    <w:rPr>
      <w:rFonts w:ascii="Arial" w:hAnsi="Arial"/>
      <w:b/>
      <w:bCs/>
    </w:rPr>
  </w:style>
  <w:style w:type="character" w:styleId="Mention">
    <w:name w:val="Mention"/>
    <w:basedOn w:val="DefaultParagraphFont"/>
    <w:uiPriority w:val="99"/>
    <w:unhideWhenUsed/>
    <w:rsid w:val="000F4C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0227">
      <w:bodyDiv w:val="1"/>
      <w:marLeft w:val="0"/>
      <w:marRight w:val="0"/>
      <w:marTop w:val="0"/>
      <w:marBottom w:val="0"/>
      <w:divBdr>
        <w:top w:val="none" w:sz="0" w:space="0" w:color="auto"/>
        <w:left w:val="none" w:sz="0" w:space="0" w:color="auto"/>
        <w:bottom w:val="none" w:sz="0" w:space="0" w:color="auto"/>
        <w:right w:val="none" w:sz="0" w:space="0" w:color="auto"/>
      </w:divBdr>
    </w:div>
    <w:div w:id="78215270">
      <w:bodyDiv w:val="1"/>
      <w:marLeft w:val="0"/>
      <w:marRight w:val="0"/>
      <w:marTop w:val="0"/>
      <w:marBottom w:val="0"/>
      <w:divBdr>
        <w:top w:val="none" w:sz="0" w:space="0" w:color="auto"/>
        <w:left w:val="none" w:sz="0" w:space="0" w:color="auto"/>
        <w:bottom w:val="none" w:sz="0" w:space="0" w:color="auto"/>
        <w:right w:val="none" w:sz="0" w:space="0" w:color="auto"/>
      </w:divBdr>
    </w:div>
    <w:div w:id="364448132">
      <w:bodyDiv w:val="1"/>
      <w:marLeft w:val="0"/>
      <w:marRight w:val="0"/>
      <w:marTop w:val="0"/>
      <w:marBottom w:val="0"/>
      <w:divBdr>
        <w:top w:val="none" w:sz="0" w:space="0" w:color="auto"/>
        <w:left w:val="none" w:sz="0" w:space="0" w:color="auto"/>
        <w:bottom w:val="none" w:sz="0" w:space="0" w:color="auto"/>
        <w:right w:val="none" w:sz="0" w:space="0" w:color="auto"/>
      </w:divBdr>
    </w:div>
    <w:div w:id="658966040">
      <w:bodyDiv w:val="1"/>
      <w:marLeft w:val="0"/>
      <w:marRight w:val="0"/>
      <w:marTop w:val="0"/>
      <w:marBottom w:val="0"/>
      <w:divBdr>
        <w:top w:val="none" w:sz="0" w:space="0" w:color="auto"/>
        <w:left w:val="none" w:sz="0" w:space="0" w:color="auto"/>
        <w:bottom w:val="none" w:sz="0" w:space="0" w:color="auto"/>
        <w:right w:val="none" w:sz="0" w:space="0" w:color="auto"/>
      </w:divBdr>
    </w:div>
    <w:div w:id="767653307">
      <w:bodyDiv w:val="1"/>
      <w:marLeft w:val="0"/>
      <w:marRight w:val="0"/>
      <w:marTop w:val="0"/>
      <w:marBottom w:val="0"/>
      <w:divBdr>
        <w:top w:val="none" w:sz="0" w:space="0" w:color="auto"/>
        <w:left w:val="none" w:sz="0" w:space="0" w:color="auto"/>
        <w:bottom w:val="none" w:sz="0" w:space="0" w:color="auto"/>
        <w:right w:val="none" w:sz="0" w:space="0" w:color="auto"/>
      </w:divBdr>
    </w:div>
    <w:div w:id="895968958">
      <w:bodyDiv w:val="1"/>
      <w:marLeft w:val="0"/>
      <w:marRight w:val="0"/>
      <w:marTop w:val="0"/>
      <w:marBottom w:val="0"/>
      <w:divBdr>
        <w:top w:val="none" w:sz="0" w:space="0" w:color="auto"/>
        <w:left w:val="none" w:sz="0" w:space="0" w:color="auto"/>
        <w:bottom w:val="none" w:sz="0" w:space="0" w:color="auto"/>
        <w:right w:val="none" w:sz="0" w:space="0" w:color="auto"/>
      </w:divBdr>
      <w:divsChild>
        <w:div w:id="1442454411">
          <w:marLeft w:val="0"/>
          <w:marRight w:val="0"/>
          <w:marTop w:val="0"/>
          <w:marBottom w:val="0"/>
          <w:divBdr>
            <w:top w:val="none" w:sz="0" w:space="0" w:color="auto"/>
            <w:left w:val="none" w:sz="0" w:space="0" w:color="auto"/>
            <w:bottom w:val="none" w:sz="0" w:space="0" w:color="auto"/>
            <w:right w:val="none" w:sz="0" w:space="0" w:color="auto"/>
          </w:divBdr>
          <w:divsChild>
            <w:div w:id="478421857">
              <w:marLeft w:val="0"/>
              <w:marRight w:val="0"/>
              <w:marTop w:val="0"/>
              <w:marBottom w:val="0"/>
              <w:divBdr>
                <w:top w:val="none" w:sz="0" w:space="0" w:color="auto"/>
                <w:left w:val="none" w:sz="0" w:space="0" w:color="auto"/>
                <w:bottom w:val="none" w:sz="0" w:space="0" w:color="auto"/>
                <w:right w:val="none" w:sz="0" w:space="0" w:color="auto"/>
              </w:divBdr>
              <w:divsChild>
                <w:div w:id="1940291190">
                  <w:marLeft w:val="0"/>
                  <w:marRight w:val="0"/>
                  <w:marTop w:val="0"/>
                  <w:marBottom w:val="0"/>
                  <w:divBdr>
                    <w:top w:val="none" w:sz="0" w:space="0" w:color="auto"/>
                    <w:left w:val="none" w:sz="0" w:space="0" w:color="auto"/>
                    <w:bottom w:val="none" w:sz="0" w:space="0" w:color="auto"/>
                    <w:right w:val="none" w:sz="0" w:space="0" w:color="auto"/>
                  </w:divBdr>
                  <w:divsChild>
                    <w:div w:id="590430746">
                      <w:marLeft w:val="0"/>
                      <w:marRight w:val="0"/>
                      <w:marTop w:val="0"/>
                      <w:marBottom w:val="0"/>
                      <w:divBdr>
                        <w:top w:val="none" w:sz="0" w:space="0" w:color="auto"/>
                        <w:left w:val="none" w:sz="0" w:space="0" w:color="auto"/>
                        <w:bottom w:val="none" w:sz="0" w:space="0" w:color="auto"/>
                        <w:right w:val="none" w:sz="0" w:space="0" w:color="auto"/>
                      </w:divBdr>
                      <w:divsChild>
                        <w:div w:id="2078282073">
                          <w:marLeft w:val="0"/>
                          <w:marRight w:val="0"/>
                          <w:marTop w:val="0"/>
                          <w:marBottom w:val="0"/>
                          <w:divBdr>
                            <w:top w:val="none" w:sz="0" w:space="0" w:color="auto"/>
                            <w:left w:val="none" w:sz="0" w:space="0" w:color="auto"/>
                            <w:bottom w:val="none" w:sz="0" w:space="0" w:color="auto"/>
                            <w:right w:val="none" w:sz="0" w:space="0" w:color="auto"/>
                          </w:divBdr>
                          <w:divsChild>
                            <w:div w:id="13165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83216">
      <w:bodyDiv w:val="1"/>
      <w:marLeft w:val="0"/>
      <w:marRight w:val="0"/>
      <w:marTop w:val="0"/>
      <w:marBottom w:val="0"/>
      <w:divBdr>
        <w:top w:val="none" w:sz="0" w:space="0" w:color="auto"/>
        <w:left w:val="none" w:sz="0" w:space="0" w:color="auto"/>
        <w:bottom w:val="none" w:sz="0" w:space="0" w:color="auto"/>
        <w:right w:val="none" w:sz="0" w:space="0" w:color="auto"/>
      </w:divBdr>
    </w:div>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 w:id="1728334563">
      <w:bodyDiv w:val="1"/>
      <w:marLeft w:val="0"/>
      <w:marRight w:val="0"/>
      <w:marTop w:val="0"/>
      <w:marBottom w:val="0"/>
      <w:divBdr>
        <w:top w:val="none" w:sz="0" w:space="0" w:color="auto"/>
        <w:left w:val="none" w:sz="0" w:space="0" w:color="auto"/>
        <w:bottom w:val="none" w:sz="0" w:space="0" w:color="auto"/>
        <w:right w:val="none" w:sz="0" w:space="0" w:color="auto"/>
      </w:divBdr>
    </w:div>
    <w:div w:id="1851487184">
      <w:bodyDiv w:val="1"/>
      <w:marLeft w:val="0"/>
      <w:marRight w:val="0"/>
      <w:marTop w:val="0"/>
      <w:marBottom w:val="0"/>
      <w:divBdr>
        <w:top w:val="none" w:sz="0" w:space="0" w:color="auto"/>
        <w:left w:val="none" w:sz="0" w:space="0" w:color="auto"/>
        <w:bottom w:val="none" w:sz="0" w:space="0" w:color="auto"/>
        <w:right w:val="none" w:sz="0" w:space="0" w:color="auto"/>
      </w:divBdr>
    </w:div>
    <w:div w:id="1896970592">
      <w:bodyDiv w:val="1"/>
      <w:marLeft w:val="0"/>
      <w:marRight w:val="0"/>
      <w:marTop w:val="0"/>
      <w:marBottom w:val="0"/>
      <w:divBdr>
        <w:top w:val="none" w:sz="0" w:space="0" w:color="auto"/>
        <w:left w:val="none" w:sz="0" w:space="0" w:color="auto"/>
        <w:bottom w:val="none" w:sz="0" w:space="0" w:color="auto"/>
        <w:right w:val="none" w:sz="0" w:space="0" w:color="auto"/>
      </w:divBdr>
    </w:div>
    <w:div w:id="1958874078">
      <w:bodyDiv w:val="1"/>
      <w:marLeft w:val="0"/>
      <w:marRight w:val="0"/>
      <w:marTop w:val="0"/>
      <w:marBottom w:val="0"/>
      <w:divBdr>
        <w:top w:val="none" w:sz="0" w:space="0" w:color="auto"/>
        <w:left w:val="none" w:sz="0" w:space="0" w:color="auto"/>
        <w:bottom w:val="none" w:sz="0" w:space="0" w:color="auto"/>
        <w:right w:val="none" w:sz="0" w:space="0" w:color="auto"/>
      </w:divBdr>
    </w:div>
    <w:div w:id="20482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fnhc.org.je/wp-content/uploads/2023/12/Waste-Management-Policy-2021-updated.pdf" TargetMode="External"/><Relationship Id="rId26" Type="http://schemas.openxmlformats.org/officeDocument/2006/relationships/hyperlink" Target="https://www.fnhc.org.je/wp-content/uploads/2022/03/sharps-safety-policy-final-v2.pdf" TargetMode="External"/><Relationship Id="rId3" Type="http://schemas.openxmlformats.org/officeDocument/2006/relationships/customXml" Target="../customXml/item3.xml"/><Relationship Id="rId21" Type="http://schemas.openxmlformats.org/officeDocument/2006/relationships/hyperlink" Target="https://www.fnhc.org.je/wp-content/uploads/2024/12/Medicines-Policy-2023.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nhc.org.je/wp-content/uploads/2024/12/Medicines-Policy-2023.pdf" TargetMode="External"/><Relationship Id="rId25" Type="http://schemas.openxmlformats.org/officeDocument/2006/relationships/hyperlink" Target="https://www.fnhc.org.je/wp-content/uploads/2023/12/Waste-Management-Policy-2021-updated.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nhc.org.je/wp-content/uploads/2023/12/Waste-Management-Policy-2021-updat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nhc.org.je/wp-content/uploads/2024/12/Medicines-Policy-2023.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fnhc.org.je/wp-content/uploads/2023/08/v3.2-Record-Keeping-Policy-Final.pdf" TargetMode="External"/><Relationship Id="rId28" Type="http://schemas.openxmlformats.org/officeDocument/2006/relationships/hyperlink" Target="https://www.rcn.org.uk/professional-development/publications/administering-subcutaneous-methotrexate-for-inflammatory-arthritis-uk-pub-009-675" TargetMode="External"/><Relationship Id="rId10" Type="http://schemas.openxmlformats.org/officeDocument/2006/relationships/endnotes" Target="endnotes.xml"/><Relationship Id="rId19" Type="http://schemas.openxmlformats.org/officeDocument/2006/relationships/hyperlink" Target="https://www.fnhc.org.je/wp-content/uploads/2022/03/sharps-safety-policy-final-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fnhc.org.je/wp-content/uploads/2023/08/v3.2-Record-Keeping-Policy-Final.pdf" TargetMode="External"/><Relationship Id="rId27" Type="http://schemas.openxmlformats.org/officeDocument/2006/relationships/hyperlink" Target="https://www.fnhc.org.je/wp-content/uploads/2023/08/Injectable-Medicines-Policy-approved-2.08.23.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52897-528A-4BF5-BB2E-DBA3C1AF5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3.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bb47b9b4-3c1d-49f2-936e-a74394817770"/>
  </ds:schemaRefs>
</ds:datastoreItem>
</file>

<file path=customXml/itemProps4.xml><?xml version="1.0" encoding="utf-8"?>
<ds:datastoreItem xmlns:ds="http://schemas.openxmlformats.org/officeDocument/2006/customXml" ds:itemID="{C7578654-F0E5-48D0-B7F6-8229C9B38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3248</Words>
  <Characters>18517</Characters>
  <Application>Microsoft Office Word</Application>
  <DocSecurity>0</DocSecurity>
  <Lines>154</Lines>
  <Paragraphs>43</Paragraphs>
  <ScaleCrop>false</ScaleCrop>
  <Company>States of Jersey</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5</cp:revision>
  <cp:lastPrinted>2024-01-16T19:20:00Z</cp:lastPrinted>
  <dcterms:created xsi:type="dcterms:W3CDTF">2024-12-23T12:38:00Z</dcterms:created>
  <dcterms:modified xsi:type="dcterms:W3CDTF">2025-01-16T11:57:00Z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