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F5617CD" w:rsidR="00DA54D2" w:rsidRDefault="00DA54D2" w:rsidP="516C5905">
      <w:pPr>
        <w:rPr>
          <w:rFonts w:cs="Arial"/>
        </w:rPr>
      </w:pPr>
    </w:p>
    <w:p w14:paraId="0A37501D" w14:textId="77777777" w:rsidR="00DA54D2" w:rsidRDefault="00DA54D2" w:rsidP="00ED16EC">
      <w:pPr>
        <w:rPr>
          <w:rFonts w:cs="Arial"/>
          <w:szCs w:val="22"/>
        </w:rPr>
      </w:pPr>
    </w:p>
    <w:p w14:paraId="395928F7" w14:textId="77777777" w:rsidR="00DA54D2" w:rsidRDefault="003E5803" w:rsidP="00ED16EC">
      <w:pPr>
        <w:rPr>
          <w:rFonts w:cs="Arial"/>
          <w:szCs w:val="22"/>
        </w:rPr>
      </w:pPr>
      <w:r>
        <w:rPr>
          <w:rFonts w:cs="Arial"/>
          <w:noProof/>
          <w:szCs w:val="22"/>
        </w:rPr>
        <w:drawing>
          <wp:anchor distT="0" distB="0" distL="114300" distR="114300" simplePos="0" relativeHeight="251658240" behindDoc="1" locked="0" layoutInCell="1" allowOverlap="1" wp14:anchorId="70C1F207" wp14:editId="07777777">
            <wp:simplePos x="0" y="0"/>
            <wp:positionH relativeFrom="column">
              <wp:posOffset>910590</wp:posOffset>
            </wp:positionH>
            <wp:positionV relativeFrom="paragraph">
              <wp:posOffset>80645</wp:posOffset>
            </wp:positionV>
            <wp:extent cx="4589145" cy="2006600"/>
            <wp:effectExtent l="0" t="0" r="0" b="0"/>
            <wp:wrapTight wrapText="bothSides">
              <wp:wrapPolygon edited="0">
                <wp:start x="0" y="0"/>
                <wp:lineTo x="0" y="21327"/>
                <wp:lineTo x="21519" y="21327"/>
                <wp:lineTo x="21519"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9145" cy="200660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DA54D2" w:rsidRDefault="00DA54D2" w:rsidP="00ED16EC">
      <w:pPr>
        <w:rPr>
          <w:rFonts w:cs="Arial"/>
          <w:szCs w:val="22"/>
        </w:rPr>
      </w:pPr>
    </w:p>
    <w:p w14:paraId="02EB378F" w14:textId="77777777" w:rsidR="00DA54D2" w:rsidRDefault="00DA54D2" w:rsidP="00ED16EC">
      <w:pPr>
        <w:rPr>
          <w:rFonts w:cs="Arial"/>
          <w:szCs w:val="22"/>
        </w:rPr>
      </w:pPr>
    </w:p>
    <w:p w14:paraId="6A05A809" w14:textId="77777777" w:rsidR="00DA54D2" w:rsidRDefault="00DA54D2" w:rsidP="00ED16EC">
      <w:pPr>
        <w:rPr>
          <w:rFonts w:cs="Arial"/>
          <w:szCs w:val="22"/>
        </w:rPr>
      </w:pPr>
    </w:p>
    <w:p w14:paraId="5A39BBE3" w14:textId="54DAFFC2" w:rsidR="00DA54D2" w:rsidRDefault="00DA54D2" w:rsidP="77294F49">
      <w:pPr>
        <w:rPr>
          <w:rFonts w:cs="Arial"/>
        </w:rPr>
      </w:pPr>
    </w:p>
    <w:p w14:paraId="44EAFD9C" w14:textId="77777777" w:rsidR="00DA54D2" w:rsidRDefault="00DA54D2" w:rsidP="00ED16EC">
      <w:pPr>
        <w:rPr>
          <w:rFonts w:cs="Arial"/>
          <w:szCs w:val="22"/>
        </w:rPr>
      </w:pPr>
    </w:p>
    <w:p w14:paraId="4B94D5A5" w14:textId="77777777" w:rsidR="00ED16EC" w:rsidRDefault="00ED16EC" w:rsidP="00ED16EC">
      <w:pPr>
        <w:rPr>
          <w:rFonts w:cs="Arial"/>
          <w:b/>
          <w:sz w:val="58"/>
          <w:szCs w:val="22"/>
        </w:rPr>
      </w:pPr>
    </w:p>
    <w:p w14:paraId="2DCC8C84" w14:textId="77777777" w:rsidR="00DA54D2" w:rsidRPr="00036244" w:rsidRDefault="00DA54D2" w:rsidP="00036244">
      <w:pPr>
        <w:jc w:val="center"/>
        <w:rPr>
          <w:rFonts w:cs="Arial"/>
          <w:b/>
          <w:sz w:val="52"/>
          <w:szCs w:val="52"/>
        </w:rPr>
      </w:pPr>
      <w:r w:rsidRPr="00036244">
        <w:rPr>
          <w:rFonts w:cs="Arial"/>
          <w:b/>
          <w:sz w:val="52"/>
          <w:szCs w:val="52"/>
        </w:rPr>
        <w:t>Standard Operating Procedures</w:t>
      </w:r>
    </w:p>
    <w:p w14:paraId="3DEEC669" w14:textId="7008223B" w:rsidR="00ED16EC" w:rsidRPr="005A7AC4" w:rsidRDefault="005A7AC4" w:rsidP="00ED16EC">
      <w:pPr>
        <w:jc w:val="center"/>
        <w:rPr>
          <w:rFonts w:cs="Arial"/>
          <w:sz w:val="44"/>
          <w:szCs w:val="22"/>
        </w:rPr>
      </w:pPr>
      <w:r w:rsidRPr="005A7AC4">
        <w:rPr>
          <w:rFonts w:cs="Arial"/>
          <w:b/>
          <w:bCs/>
          <w:sz w:val="52"/>
          <w:szCs w:val="52"/>
        </w:rPr>
        <w:t>Sharps Injury and/or Blood/Body Fluid Exposure Procedure</w:t>
      </w:r>
    </w:p>
    <w:p w14:paraId="45FB0818" w14:textId="77777777" w:rsidR="00BE1EF3" w:rsidRDefault="00BE1EF3" w:rsidP="00036244">
      <w:pPr>
        <w:jc w:val="center"/>
        <w:rPr>
          <w:rFonts w:cs="Arial"/>
          <w:sz w:val="44"/>
          <w:szCs w:val="22"/>
        </w:rPr>
      </w:pPr>
    </w:p>
    <w:p w14:paraId="194527A1" w14:textId="67F1EEB7" w:rsidR="00492F7E" w:rsidRPr="00036244" w:rsidRDefault="00492F7E" w:rsidP="00ED16EC">
      <w:pPr>
        <w:jc w:val="center"/>
        <w:rPr>
          <w:rFonts w:cs="Arial"/>
          <w:sz w:val="52"/>
          <w:szCs w:val="52"/>
        </w:rPr>
      </w:pPr>
      <w:r>
        <w:rPr>
          <w:rFonts w:cs="Arial"/>
          <w:sz w:val="52"/>
          <w:szCs w:val="52"/>
        </w:rPr>
        <w:t>February 2025</w:t>
      </w:r>
    </w:p>
    <w:p w14:paraId="049F31CB" w14:textId="77777777" w:rsidR="00DA54D2" w:rsidRDefault="00DA54D2" w:rsidP="00ED16EC">
      <w:pPr>
        <w:rPr>
          <w:rFonts w:cs="Arial"/>
          <w:szCs w:val="22"/>
        </w:rPr>
      </w:pPr>
    </w:p>
    <w:p w14:paraId="53128261" w14:textId="77777777" w:rsidR="00DA54D2" w:rsidRDefault="00DA54D2" w:rsidP="00ED16EC">
      <w:pPr>
        <w:rPr>
          <w:rFonts w:cs="Arial"/>
          <w:szCs w:val="22"/>
        </w:rPr>
        <w:sectPr w:rsidR="00DA54D2" w:rsidSect="00407A98">
          <w:footerReference w:type="default" r:id="rId12"/>
          <w:footerReference w:type="first" r:id="rId13"/>
          <w:pgSz w:w="12240" w:h="15840"/>
          <w:pgMar w:top="1440" w:right="1440" w:bottom="1440" w:left="1440" w:header="709" w:footer="709" w:gutter="0"/>
          <w:cols w:space="708"/>
          <w:titlePg/>
          <w:docGrid w:linePitch="360"/>
        </w:sectPr>
      </w:pPr>
    </w:p>
    <w:p w14:paraId="799C15B1" w14:textId="77777777" w:rsidR="008A2A20" w:rsidRPr="00BE1EF3" w:rsidRDefault="00813809" w:rsidP="00813809">
      <w:pPr>
        <w:spacing w:after="120"/>
        <w:rPr>
          <w:rFonts w:cs="Arial"/>
          <w:b/>
          <w:sz w:val="24"/>
        </w:rPr>
      </w:pPr>
      <w:r w:rsidRPr="00BE1EF3">
        <w:rPr>
          <w:rFonts w:cs="Arial"/>
          <w:b/>
          <w:sz w:val="24"/>
        </w:rPr>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A2A20" w:rsidRPr="00C749F0" w14:paraId="125105E5" w14:textId="77777777" w:rsidTr="77294F49">
        <w:tc>
          <w:tcPr>
            <w:tcW w:w="2088" w:type="dxa"/>
            <w:shd w:val="clear" w:color="auto" w:fill="BFBFBF" w:themeFill="background1" w:themeFillShade="BF"/>
            <w:vAlign w:val="center"/>
          </w:tcPr>
          <w:p w14:paraId="3C0053AD" w14:textId="77777777" w:rsidR="008A2A20" w:rsidRPr="005230C3" w:rsidRDefault="008A2A20" w:rsidP="005230C3">
            <w:pPr>
              <w:spacing w:after="120"/>
              <w:rPr>
                <w:rFonts w:cs="Arial"/>
              </w:rPr>
            </w:pPr>
            <w:r w:rsidRPr="005230C3">
              <w:rPr>
                <w:rFonts w:cs="Arial"/>
                <w:b/>
              </w:rPr>
              <w:t>Type</w:t>
            </w:r>
            <w:r w:rsidRPr="005230C3">
              <w:rPr>
                <w:rFonts w:cs="Arial"/>
              </w:rPr>
              <w:t xml:space="preserve"> </w:t>
            </w:r>
          </w:p>
        </w:tc>
        <w:tc>
          <w:tcPr>
            <w:tcW w:w="6768" w:type="dxa"/>
            <w:shd w:val="clear" w:color="auto" w:fill="auto"/>
            <w:vAlign w:val="center"/>
          </w:tcPr>
          <w:p w14:paraId="2963C3DB" w14:textId="77777777" w:rsidR="008A2A20" w:rsidRPr="005230C3" w:rsidRDefault="008A2A20" w:rsidP="005230C3">
            <w:pPr>
              <w:spacing w:after="120"/>
              <w:rPr>
                <w:rFonts w:cs="Arial"/>
              </w:rPr>
            </w:pPr>
            <w:r w:rsidRPr="005230C3">
              <w:rPr>
                <w:rFonts w:cs="Arial"/>
              </w:rPr>
              <w:t>Standard Operating Procedure</w:t>
            </w:r>
            <w:r w:rsidR="00F7089A" w:rsidRPr="005230C3">
              <w:rPr>
                <w:rFonts w:cs="Arial"/>
              </w:rPr>
              <w:t>s</w:t>
            </w:r>
          </w:p>
        </w:tc>
      </w:tr>
      <w:tr w:rsidR="008A2A20" w:rsidRPr="00C749F0" w14:paraId="59AD10AE" w14:textId="77777777" w:rsidTr="77294F49">
        <w:tc>
          <w:tcPr>
            <w:tcW w:w="2088" w:type="dxa"/>
            <w:shd w:val="clear" w:color="auto" w:fill="BFBFBF" w:themeFill="background1" w:themeFillShade="BF"/>
            <w:vAlign w:val="center"/>
          </w:tcPr>
          <w:p w14:paraId="3B6F3ACC" w14:textId="77777777" w:rsidR="008A2A20" w:rsidRPr="005230C3" w:rsidRDefault="008A2A20" w:rsidP="005230C3">
            <w:pPr>
              <w:spacing w:after="120"/>
              <w:rPr>
                <w:rFonts w:cs="Arial"/>
                <w:b/>
              </w:rPr>
            </w:pPr>
            <w:r w:rsidRPr="005230C3">
              <w:rPr>
                <w:rFonts w:cs="Arial"/>
                <w:b/>
              </w:rPr>
              <w:t>Title</w:t>
            </w:r>
          </w:p>
        </w:tc>
        <w:tc>
          <w:tcPr>
            <w:tcW w:w="6768" w:type="dxa"/>
            <w:shd w:val="clear" w:color="auto" w:fill="auto"/>
            <w:vAlign w:val="center"/>
          </w:tcPr>
          <w:p w14:paraId="62486C05" w14:textId="01370B79" w:rsidR="008A2A20" w:rsidRPr="005A7AC4" w:rsidRDefault="005A7AC4" w:rsidP="005230C3">
            <w:pPr>
              <w:spacing w:after="120"/>
              <w:rPr>
                <w:rFonts w:cs="Arial"/>
              </w:rPr>
            </w:pPr>
            <w:r w:rsidRPr="005A7AC4">
              <w:rPr>
                <w:rFonts w:cs="Arial"/>
              </w:rPr>
              <w:t>Sharps Injury and/or Blood/Body Fluid Exposure Procedure</w:t>
            </w:r>
          </w:p>
        </w:tc>
      </w:tr>
      <w:tr w:rsidR="008A2A20" w:rsidRPr="00C749F0" w14:paraId="5B1C6DB4" w14:textId="77777777" w:rsidTr="77294F49">
        <w:tc>
          <w:tcPr>
            <w:tcW w:w="2088" w:type="dxa"/>
            <w:shd w:val="clear" w:color="auto" w:fill="BFBFBF" w:themeFill="background1" w:themeFillShade="BF"/>
            <w:vAlign w:val="center"/>
          </w:tcPr>
          <w:p w14:paraId="3822F2F2" w14:textId="77777777" w:rsidR="008A2A20" w:rsidRPr="005230C3" w:rsidRDefault="008A2A20" w:rsidP="005230C3">
            <w:pPr>
              <w:spacing w:after="120"/>
              <w:rPr>
                <w:rFonts w:cs="Arial"/>
                <w:b/>
              </w:rPr>
            </w:pPr>
            <w:r w:rsidRPr="005230C3">
              <w:rPr>
                <w:rFonts w:cs="Arial"/>
                <w:b/>
              </w:rPr>
              <w:t>Author</w:t>
            </w:r>
            <w:r w:rsidR="008B38C4">
              <w:rPr>
                <w:rFonts w:cs="Arial"/>
                <w:b/>
              </w:rPr>
              <w:t>(s)</w:t>
            </w:r>
          </w:p>
        </w:tc>
        <w:tc>
          <w:tcPr>
            <w:tcW w:w="6768" w:type="dxa"/>
            <w:shd w:val="clear" w:color="auto" w:fill="auto"/>
            <w:vAlign w:val="center"/>
          </w:tcPr>
          <w:p w14:paraId="6E8C1231" w14:textId="43A21AF4" w:rsidR="008A2A20" w:rsidRPr="005A7AC4" w:rsidRDefault="005A7AC4" w:rsidP="7612898E">
            <w:pPr>
              <w:spacing w:after="120"/>
              <w:rPr>
                <w:rFonts w:cs="Arial"/>
                <w:highlight w:val="yellow"/>
              </w:rPr>
            </w:pPr>
            <w:r w:rsidRPr="005A7AC4">
              <w:rPr>
                <w:rFonts w:cs="Arial"/>
              </w:rPr>
              <w:t>Rachel Foster – Quality &amp; Performance Development Nurse</w:t>
            </w:r>
          </w:p>
        </w:tc>
      </w:tr>
      <w:tr w:rsidR="008A2A20" w:rsidRPr="00C749F0" w14:paraId="00E9C15C" w14:textId="77777777" w:rsidTr="77294F49">
        <w:tc>
          <w:tcPr>
            <w:tcW w:w="2088" w:type="dxa"/>
            <w:shd w:val="clear" w:color="auto" w:fill="BFBFBF" w:themeFill="background1" w:themeFillShade="BF"/>
            <w:vAlign w:val="center"/>
          </w:tcPr>
          <w:p w14:paraId="5286F705" w14:textId="77777777" w:rsidR="008A2A20" w:rsidRPr="005230C3" w:rsidRDefault="008A2A20" w:rsidP="005230C3">
            <w:pPr>
              <w:spacing w:after="120"/>
              <w:rPr>
                <w:rFonts w:cs="Arial"/>
              </w:rPr>
            </w:pPr>
            <w:r w:rsidRPr="005230C3">
              <w:rPr>
                <w:rFonts w:cs="Arial"/>
                <w:b/>
              </w:rPr>
              <w:t>Category</w:t>
            </w:r>
            <w:r w:rsidRPr="005230C3">
              <w:rPr>
                <w:rFonts w:cs="Arial"/>
              </w:rPr>
              <w:t xml:space="preserve"> </w:t>
            </w:r>
          </w:p>
        </w:tc>
        <w:tc>
          <w:tcPr>
            <w:tcW w:w="6768" w:type="dxa"/>
            <w:shd w:val="clear" w:color="auto" w:fill="auto"/>
            <w:vAlign w:val="center"/>
          </w:tcPr>
          <w:p w14:paraId="3F817722" w14:textId="2A6EF9B2" w:rsidR="008A2A20" w:rsidRPr="004137F6" w:rsidRDefault="005A7AC4" w:rsidP="7612898E">
            <w:pPr>
              <w:spacing w:after="120"/>
              <w:rPr>
                <w:rFonts w:cs="Arial"/>
              </w:rPr>
            </w:pPr>
            <w:r>
              <w:rPr>
                <w:rFonts w:cs="Arial"/>
              </w:rPr>
              <w:t>Clinical</w:t>
            </w:r>
          </w:p>
        </w:tc>
      </w:tr>
      <w:tr w:rsidR="00FA7097" w:rsidRPr="00C749F0" w14:paraId="6B814A1E" w14:textId="77777777" w:rsidTr="77294F49">
        <w:tc>
          <w:tcPr>
            <w:tcW w:w="2088" w:type="dxa"/>
            <w:shd w:val="clear" w:color="auto" w:fill="BFBFBF" w:themeFill="background1" w:themeFillShade="BF"/>
            <w:vAlign w:val="center"/>
          </w:tcPr>
          <w:p w14:paraId="2AE331A5" w14:textId="77777777" w:rsidR="00FA7097" w:rsidRPr="005230C3" w:rsidRDefault="00FA7097" w:rsidP="005230C3">
            <w:pPr>
              <w:spacing w:after="120"/>
              <w:rPr>
                <w:rFonts w:cs="Arial"/>
                <w:b/>
              </w:rPr>
            </w:pPr>
            <w:r>
              <w:rPr>
                <w:rFonts w:cs="Arial"/>
                <w:b/>
              </w:rPr>
              <w:t>Version</w:t>
            </w:r>
          </w:p>
        </w:tc>
        <w:tc>
          <w:tcPr>
            <w:tcW w:w="6768" w:type="dxa"/>
            <w:shd w:val="clear" w:color="auto" w:fill="auto"/>
            <w:vAlign w:val="center"/>
          </w:tcPr>
          <w:p w14:paraId="4101652C" w14:textId="7779998D" w:rsidR="00FA7097" w:rsidRPr="005230C3" w:rsidRDefault="005A7AC4" w:rsidP="005230C3">
            <w:pPr>
              <w:spacing w:after="120"/>
              <w:rPr>
                <w:rFonts w:cs="Arial"/>
              </w:rPr>
            </w:pPr>
            <w:r>
              <w:rPr>
                <w:rFonts w:cs="Arial"/>
              </w:rPr>
              <w:t>4.0</w:t>
            </w:r>
          </w:p>
        </w:tc>
      </w:tr>
      <w:tr w:rsidR="008A2A20" w:rsidRPr="00C749F0" w14:paraId="051D9E3C" w14:textId="77777777" w:rsidTr="77294F49">
        <w:tc>
          <w:tcPr>
            <w:tcW w:w="2088" w:type="dxa"/>
            <w:shd w:val="clear" w:color="auto" w:fill="BFBFBF" w:themeFill="background1" w:themeFillShade="BF"/>
            <w:vAlign w:val="center"/>
          </w:tcPr>
          <w:p w14:paraId="3A378A2A" w14:textId="77777777" w:rsidR="008A2A20" w:rsidRPr="005230C3" w:rsidRDefault="008A2A20" w:rsidP="005230C3">
            <w:pPr>
              <w:spacing w:after="120"/>
              <w:rPr>
                <w:rFonts w:cs="Arial"/>
              </w:rPr>
            </w:pPr>
            <w:r w:rsidRPr="005230C3">
              <w:rPr>
                <w:rFonts w:cs="Arial"/>
                <w:b/>
              </w:rPr>
              <w:t>Approval Route</w:t>
            </w:r>
            <w:r w:rsidRPr="005230C3">
              <w:rPr>
                <w:rFonts w:cs="Arial"/>
              </w:rPr>
              <w:t xml:space="preserve"> </w:t>
            </w:r>
          </w:p>
        </w:tc>
        <w:tc>
          <w:tcPr>
            <w:tcW w:w="6768" w:type="dxa"/>
            <w:shd w:val="clear" w:color="auto" w:fill="auto"/>
            <w:vAlign w:val="center"/>
          </w:tcPr>
          <w:p w14:paraId="37077E99" w14:textId="77777777" w:rsidR="008A2A20" w:rsidRPr="005230C3" w:rsidRDefault="005230C3" w:rsidP="005230C3">
            <w:pPr>
              <w:spacing w:after="120"/>
              <w:rPr>
                <w:rFonts w:cs="Arial"/>
              </w:rPr>
            </w:pPr>
            <w:r w:rsidRPr="005230C3">
              <w:rPr>
                <w:rFonts w:cs="Arial"/>
              </w:rPr>
              <w:t>Organisational Governance Approval Group</w:t>
            </w:r>
            <w:r w:rsidR="009B2BAA">
              <w:rPr>
                <w:rFonts w:cs="Arial"/>
              </w:rPr>
              <w:t xml:space="preserve"> (OGAG)</w:t>
            </w:r>
            <w:r w:rsidR="008B38C4">
              <w:rPr>
                <w:rFonts w:cs="Arial"/>
              </w:rPr>
              <w:t xml:space="preserve"> </w:t>
            </w:r>
          </w:p>
        </w:tc>
      </w:tr>
      <w:tr w:rsidR="008A2A20" w:rsidRPr="00C749F0" w14:paraId="6E1BA05C" w14:textId="77777777" w:rsidTr="77294F49">
        <w:tc>
          <w:tcPr>
            <w:tcW w:w="2088" w:type="dxa"/>
            <w:shd w:val="clear" w:color="auto" w:fill="BFBFBF" w:themeFill="background1" w:themeFillShade="BF"/>
            <w:vAlign w:val="center"/>
          </w:tcPr>
          <w:p w14:paraId="3C8566DD" w14:textId="77777777" w:rsidR="008A2A20" w:rsidRPr="005230C3" w:rsidRDefault="008A2A20" w:rsidP="005230C3">
            <w:pPr>
              <w:spacing w:after="120"/>
              <w:rPr>
                <w:rFonts w:cs="Arial"/>
                <w:b/>
              </w:rPr>
            </w:pPr>
            <w:r w:rsidRPr="005230C3">
              <w:rPr>
                <w:rFonts w:cs="Arial"/>
                <w:b/>
              </w:rPr>
              <w:t>Date approved</w:t>
            </w:r>
          </w:p>
        </w:tc>
        <w:tc>
          <w:tcPr>
            <w:tcW w:w="6768" w:type="dxa"/>
            <w:shd w:val="clear" w:color="auto" w:fill="auto"/>
            <w:vAlign w:val="center"/>
          </w:tcPr>
          <w:p w14:paraId="4B99056E" w14:textId="457BF313" w:rsidR="008A2A20" w:rsidRPr="005230C3" w:rsidRDefault="438243F6" w:rsidP="005230C3">
            <w:pPr>
              <w:spacing w:after="120"/>
              <w:rPr>
                <w:rFonts w:cs="Arial"/>
              </w:rPr>
            </w:pPr>
            <w:r w:rsidRPr="77294F49">
              <w:rPr>
                <w:rFonts w:cs="Arial"/>
              </w:rPr>
              <w:t>5</w:t>
            </w:r>
            <w:r w:rsidRPr="77294F49">
              <w:rPr>
                <w:rFonts w:cs="Arial"/>
                <w:vertAlign w:val="superscript"/>
              </w:rPr>
              <w:t>th</w:t>
            </w:r>
            <w:r w:rsidRPr="77294F49">
              <w:rPr>
                <w:rFonts w:cs="Arial"/>
              </w:rPr>
              <w:t xml:space="preserve"> February 2025</w:t>
            </w:r>
          </w:p>
        </w:tc>
      </w:tr>
      <w:tr w:rsidR="008A2A20" w:rsidRPr="00C749F0" w14:paraId="113F5188" w14:textId="77777777" w:rsidTr="77294F49">
        <w:tc>
          <w:tcPr>
            <w:tcW w:w="2088" w:type="dxa"/>
            <w:shd w:val="clear" w:color="auto" w:fill="BFBFBF" w:themeFill="background1" w:themeFillShade="BF"/>
            <w:vAlign w:val="center"/>
          </w:tcPr>
          <w:p w14:paraId="765471B8" w14:textId="77777777" w:rsidR="008A2A20" w:rsidRPr="005230C3" w:rsidRDefault="008A2A20" w:rsidP="005230C3">
            <w:pPr>
              <w:spacing w:after="120"/>
              <w:rPr>
                <w:rFonts w:cs="Arial"/>
                <w:b/>
              </w:rPr>
            </w:pPr>
            <w:r w:rsidRPr="005230C3">
              <w:rPr>
                <w:rFonts w:cs="Arial"/>
                <w:b/>
              </w:rPr>
              <w:t>Review date</w:t>
            </w:r>
          </w:p>
        </w:tc>
        <w:tc>
          <w:tcPr>
            <w:tcW w:w="6768" w:type="dxa"/>
            <w:shd w:val="clear" w:color="auto" w:fill="auto"/>
            <w:vAlign w:val="center"/>
          </w:tcPr>
          <w:p w14:paraId="5493EC55" w14:textId="372CE091" w:rsidR="008A2A20" w:rsidRPr="005A7AC4" w:rsidRDefault="008A2A20" w:rsidP="005230C3">
            <w:pPr>
              <w:spacing w:after="120"/>
              <w:rPr>
                <w:rFonts w:cs="Arial"/>
                <w:iCs/>
              </w:rPr>
            </w:pPr>
            <w:r w:rsidRPr="005A7AC4">
              <w:rPr>
                <w:rFonts w:cs="Arial"/>
                <w:iCs/>
              </w:rPr>
              <w:t>3</w:t>
            </w:r>
            <w:r w:rsidR="005A7AC4" w:rsidRPr="005A7AC4">
              <w:rPr>
                <w:rFonts w:cs="Arial"/>
                <w:iCs/>
              </w:rPr>
              <w:t xml:space="preserve"> </w:t>
            </w:r>
            <w:r w:rsidRPr="005A7AC4">
              <w:rPr>
                <w:rFonts w:cs="Arial"/>
                <w:iCs/>
              </w:rPr>
              <w:t>years from approval</w:t>
            </w:r>
          </w:p>
        </w:tc>
      </w:tr>
      <w:tr w:rsidR="008A2A20" w:rsidRPr="00C749F0" w14:paraId="4DA30761" w14:textId="77777777" w:rsidTr="77294F49">
        <w:tc>
          <w:tcPr>
            <w:tcW w:w="2088" w:type="dxa"/>
            <w:shd w:val="clear" w:color="auto" w:fill="BFBFBF" w:themeFill="background1" w:themeFillShade="BF"/>
            <w:vAlign w:val="center"/>
          </w:tcPr>
          <w:p w14:paraId="4A83FB85" w14:textId="77777777" w:rsidR="008A2A20" w:rsidRPr="005230C3" w:rsidRDefault="008A2A20" w:rsidP="005230C3">
            <w:pPr>
              <w:spacing w:after="120"/>
              <w:rPr>
                <w:rFonts w:cs="Arial"/>
              </w:rPr>
            </w:pPr>
            <w:r w:rsidRPr="005230C3">
              <w:rPr>
                <w:rFonts w:cs="Arial"/>
                <w:b/>
              </w:rPr>
              <w:t>Document Status</w:t>
            </w:r>
          </w:p>
        </w:tc>
        <w:tc>
          <w:tcPr>
            <w:tcW w:w="6768" w:type="dxa"/>
            <w:shd w:val="clear" w:color="auto" w:fill="auto"/>
            <w:vAlign w:val="center"/>
          </w:tcPr>
          <w:p w14:paraId="354F61A7" w14:textId="77777777" w:rsidR="008A2A20" w:rsidRPr="005230C3" w:rsidRDefault="008A2A20" w:rsidP="00036244">
            <w:r w:rsidRPr="005230C3">
              <w:t xml:space="preserve">This is a controlled document. Whilst </w:t>
            </w:r>
            <w:r w:rsidR="005230C3">
              <w:t>it</w:t>
            </w:r>
            <w:r w:rsidRPr="005230C3">
              <w:t xml:space="preserve"> may be printed, the electronic version posted on the intranet is the controlled copy.</w:t>
            </w:r>
            <w:r w:rsidR="005230C3">
              <w:t xml:space="preserve"> </w:t>
            </w:r>
            <w:r w:rsidRPr="005230C3">
              <w:t xml:space="preserve"> Any printed copies of this document are not controlled. As a controlled document, </w:t>
            </w:r>
            <w:r w:rsidR="005230C3">
              <w:t>it</w:t>
            </w:r>
            <w:r w:rsidRPr="005230C3">
              <w:t xml:space="preserve"> should not be saved onto local or network drives but should always be accessed from the intranet.</w:t>
            </w:r>
          </w:p>
        </w:tc>
      </w:tr>
    </w:tbl>
    <w:p w14:paraId="5F5038AD" w14:textId="77777777" w:rsidR="008A2A20" w:rsidRPr="00BE1EF3" w:rsidRDefault="00BE1EF3" w:rsidP="00D44850">
      <w:pPr>
        <w:spacing w:before="600" w:after="120"/>
        <w:rPr>
          <w:rFonts w:cs="Arial"/>
          <w:b/>
          <w:sz w:val="24"/>
        </w:rPr>
      </w:pPr>
      <w:r>
        <w:rPr>
          <w:rFonts w:cs="Arial"/>
          <w:b/>
          <w:sz w:val="24"/>
        </w:rPr>
        <w:t>Version Control</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047"/>
        <w:gridCol w:w="6634"/>
      </w:tblGrid>
      <w:tr w:rsidR="00D44850" w14:paraId="662A01C3" w14:textId="77777777" w:rsidTr="77294F49">
        <w:tc>
          <w:tcPr>
            <w:tcW w:w="1380" w:type="dxa"/>
            <w:shd w:val="clear" w:color="auto" w:fill="BFBFBF" w:themeFill="background1" w:themeFillShade="BF"/>
          </w:tcPr>
          <w:p w14:paraId="491072FA" w14:textId="77777777" w:rsidR="00D44850" w:rsidRPr="00D44850" w:rsidRDefault="00D44850" w:rsidP="00D44850">
            <w:pPr>
              <w:spacing w:after="120"/>
              <w:rPr>
                <w:rFonts w:cs="Arial"/>
                <w:b/>
              </w:rPr>
            </w:pPr>
            <w:r w:rsidRPr="00D44850">
              <w:rPr>
                <w:rFonts w:cs="Arial"/>
                <w:b/>
              </w:rPr>
              <w:t>Date</w:t>
            </w:r>
          </w:p>
        </w:tc>
        <w:tc>
          <w:tcPr>
            <w:tcW w:w="1047" w:type="dxa"/>
            <w:shd w:val="clear" w:color="auto" w:fill="BFBFBF" w:themeFill="background1" w:themeFillShade="BF"/>
          </w:tcPr>
          <w:p w14:paraId="3484FFE5" w14:textId="77777777" w:rsidR="00D44850" w:rsidRPr="00D44850" w:rsidRDefault="00D44850" w:rsidP="00D44850">
            <w:pPr>
              <w:spacing w:after="120"/>
              <w:rPr>
                <w:rFonts w:cs="Arial"/>
                <w:b/>
              </w:rPr>
            </w:pPr>
            <w:r w:rsidRPr="00D44850">
              <w:rPr>
                <w:rFonts w:cs="Arial"/>
                <w:b/>
              </w:rPr>
              <w:t xml:space="preserve">Version </w:t>
            </w:r>
          </w:p>
        </w:tc>
        <w:tc>
          <w:tcPr>
            <w:tcW w:w="6634" w:type="dxa"/>
            <w:shd w:val="clear" w:color="auto" w:fill="BFBFBF" w:themeFill="background1" w:themeFillShade="BF"/>
          </w:tcPr>
          <w:p w14:paraId="2837EBF7" w14:textId="77777777" w:rsidR="00D44850" w:rsidRPr="00D44850" w:rsidRDefault="00D44850" w:rsidP="00D44850">
            <w:pPr>
              <w:spacing w:after="120"/>
              <w:rPr>
                <w:rFonts w:cs="Arial"/>
                <w:b/>
              </w:rPr>
            </w:pPr>
            <w:r w:rsidRPr="00D44850">
              <w:rPr>
                <w:rFonts w:cs="Arial"/>
                <w:b/>
              </w:rPr>
              <w:t>Summary of changes made</w:t>
            </w:r>
          </w:p>
        </w:tc>
      </w:tr>
      <w:tr w:rsidR="00D44850" w14:paraId="1299C43A" w14:textId="77777777" w:rsidTr="77294F49">
        <w:tc>
          <w:tcPr>
            <w:tcW w:w="1380" w:type="dxa"/>
            <w:shd w:val="clear" w:color="auto" w:fill="auto"/>
            <w:vAlign w:val="center"/>
          </w:tcPr>
          <w:p w14:paraId="4DDBEF00" w14:textId="0D8F9036" w:rsidR="00D44850" w:rsidRPr="005230C3" w:rsidRDefault="00192519" w:rsidP="002541AB">
            <w:pPr>
              <w:jc w:val="center"/>
              <w:rPr>
                <w:rFonts w:cs="Arial"/>
              </w:rPr>
            </w:pPr>
            <w:r>
              <w:rPr>
                <w:rFonts w:cs="Arial"/>
              </w:rPr>
              <w:t>September 2021</w:t>
            </w:r>
          </w:p>
        </w:tc>
        <w:tc>
          <w:tcPr>
            <w:tcW w:w="1047" w:type="dxa"/>
            <w:shd w:val="clear" w:color="auto" w:fill="auto"/>
            <w:vAlign w:val="center"/>
          </w:tcPr>
          <w:p w14:paraId="3461D779" w14:textId="3011A5D7" w:rsidR="00D44850" w:rsidRPr="005230C3" w:rsidRDefault="00192519" w:rsidP="00192519">
            <w:pPr>
              <w:jc w:val="center"/>
              <w:rPr>
                <w:rFonts w:cs="Arial"/>
              </w:rPr>
            </w:pPr>
            <w:r>
              <w:rPr>
                <w:rFonts w:cs="Arial"/>
              </w:rPr>
              <w:t>3.0</w:t>
            </w:r>
          </w:p>
        </w:tc>
        <w:tc>
          <w:tcPr>
            <w:tcW w:w="6634" w:type="dxa"/>
            <w:shd w:val="clear" w:color="auto" w:fill="auto"/>
          </w:tcPr>
          <w:p w14:paraId="44A56741" w14:textId="77777777" w:rsidR="00192519" w:rsidRPr="00394186" w:rsidRDefault="00192519" w:rsidP="00192519">
            <w:pPr>
              <w:spacing w:before="0"/>
              <w:rPr>
                <w:rFonts w:cs="Arial"/>
              </w:rPr>
            </w:pPr>
            <w:r w:rsidRPr="00394186">
              <w:rPr>
                <w:rFonts w:cs="Arial"/>
              </w:rPr>
              <w:t>Previous procedure document transferred onto new SOP template </w:t>
            </w:r>
          </w:p>
          <w:p w14:paraId="3CF2D8B6" w14:textId="18770B72" w:rsidR="006E6EE8" w:rsidRPr="005230C3" w:rsidRDefault="00192519" w:rsidP="00192519">
            <w:pPr>
              <w:spacing w:before="0"/>
              <w:rPr>
                <w:rFonts w:cs="Arial"/>
              </w:rPr>
            </w:pPr>
            <w:r w:rsidRPr="00394186">
              <w:rPr>
                <w:rFonts w:cs="Arial"/>
              </w:rPr>
              <w:t>Content reviewed and updated where necessary, in consultation with Health and Community Services Community Infection Control Nurse. </w:t>
            </w:r>
          </w:p>
        </w:tc>
      </w:tr>
      <w:tr w:rsidR="00D44850" w14:paraId="0FB78278" w14:textId="77777777" w:rsidTr="77294F49">
        <w:tc>
          <w:tcPr>
            <w:tcW w:w="1380" w:type="dxa"/>
            <w:shd w:val="clear" w:color="auto" w:fill="auto"/>
            <w:vAlign w:val="center"/>
          </w:tcPr>
          <w:p w14:paraId="1FC39945" w14:textId="32BB1AEC" w:rsidR="00D44850" w:rsidRPr="005230C3" w:rsidRDefault="00192519" w:rsidP="002541AB">
            <w:pPr>
              <w:jc w:val="center"/>
              <w:rPr>
                <w:rFonts w:cs="Arial"/>
              </w:rPr>
            </w:pPr>
            <w:r>
              <w:rPr>
                <w:rFonts w:cs="Arial"/>
              </w:rPr>
              <w:t>February 2025</w:t>
            </w:r>
          </w:p>
        </w:tc>
        <w:tc>
          <w:tcPr>
            <w:tcW w:w="1047" w:type="dxa"/>
            <w:shd w:val="clear" w:color="auto" w:fill="auto"/>
            <w:vAlign w:val="center"/>
          </w:tcPr>
          <w:p w14:paraId="0562CB0E" w14:textId="02A06D23" w:rsidR="00D44850" w:rsidRPr="005230C3" w:rsidRDefault="00192519" w:rsidP="00192519">
            <w:pPr>
              <w:jc w:val="center"/>
              <w:rPr>
                <w:rFonts w:cs="Arial"/>
              </w:rPr>
            </w:pPr>
            <w:r>
              <w:rPr>
                <w:rFonts w:cs="Arial"/>
              </w:rPr>
              <w:t>4.0</w:t>
            </w:r>
          </w:p>
        </w:tc>
        <w:tc>
          <w:tcPr>
            <w:tcW w:w="6634" w:type="dxa"/>
            <w:shd w:val="clear" w:color="auto" w:fill="auto"/>
          </w:tcPr>
          <w:p w14:paraId="14C5C4D7" w14:textId="77777777" w:rsidR="00192519" w:rsidRDefault="00192519" w:rsidP="00192519">
            <w:pPr>
              <w:spacing w:before="0"/>
              <w:rPr>
                <w:rFonts w:cs="Arial"/>
              </w:rPr>
            </w:pPr>
            <w:r>
              <w:rPr>
                <w:rFonts w:cs="Arial"/>
              </w:rPr>
              <w:t>Previous SOP transferred on to new document template.</w:t>
            </w:r>
          </w:p>
          <w:p w14:paraId="34CE0A41" w14:textId="021D1818" w:rsidR="00D44850" w:rsidRPr="005230C3" w:rsidRDefault="00192519" w:rsidP="00192519">
            <w:pPr>
              <w:spacing w:before="0"/>
              <w:rPr>
                <w:rFonts w:cs="Arial"/>
              </w:rPr>
            </w:pPr>
            <w:r>
              <w:rPr>
                <w:rFonts w:cs="Arial"/>
              </w:rPr>
              <w:t>Full review of SOP and updated where required.</w:t>
            </w:r>
          </w:p>
        </w:tc>
      </w:tr>
    </w:tbl>
    <w:p w14:paraId="110FFD37" w14:textId="77777777" w:rsidR="008A2A20" w:rsidRDefault="008A2A20" w:rsidP="00ED16EC"/>
    <w:p w14:paraId="6B699379" w14:textId="77777777" w:rsidR="00B80104" w:rsidRDefault="00B80104" w:rsidP="00ED16EC">
      <w:pPr>
        <w:sectPr w:rsidR="00B80104" w:rsidSect="00407A98">
          <w:headerReference w:type="even" r:id="rId14"/>
          <w:headerReference w:type="default" r:id="rId15"/>
          <w:headerReference w:type="first" r:id="rId16"/>
          <w:pgSz w:w="12240" w:h="15840"/>
          <w:pgMar w:top="1440" w:right="1440" w:bottom="1440" w:left="1440" w:header="709" w:footer="709" w:gutter="0"/>
          <w:cols w:space="708"/>
          <w:docGrid w:linePitch="360"/>
        </w:sectPr>
      </w:pPr>
    </w:p>
    <w:p w14:paraId="406425CA" w14:textId="77777777" w:rsidR="00DA54D2" w:rsidRPr="00BE1EF3" w:rsidRDefault="00DA54D2" w:rsidP="005230C3">
      <w:pPr>
        <w:spacing w:after="120"/>
        <w:rPr>
          <w:rFonts w:cs="Arial"/>
          <w:b/>
          <w:sz w:val="24"/>
        </w:rPr>
      </w:pPr>
      <w:r w:rsidRPr="00BE1EF3">
        <w:rPr>
          <w:rFonts w:cs="Arial"/>
          <w:b/>
          <w:sz w:val="24"/>
        </w:rPr>
        <w:t>Contents</w:t>
      </w:r>
    </w:p>
    <w:p w14:paraId="7C400DF8" w14:textId="1865B43B" w:rsidR="00492F7E" w:rsidRDefault="001D4AF4">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88951404" w:history="1">
        <w:r w:rsidR="00492F7E" w:rsidRPr="005766B6">
          <w:rPr>
            <w:rStyle w:val="Hyperlink"/>
            <w:noProof/>
          </w:rPr>
          <w:t>Introduction</w:t>
        </w:r>
        <w:r w:rsidR="00492F7E">
          <w:rPr>
            <w:noProof/>
            <w:webHidden/>
          </w:rPr>
          <w:tab/>
        </w:r>
        <w:r w:rsidR="00492F7E">
          <w:rPr>
            <w:noProof/>
            <w:webHidden/>
          </w:rPr>
          <w:fldChar w:fldCharType="begin"/>
        </w:r>
        <w:r w:rsidR="00492F7E">
          <w:rPr>
            <w:noProof/>
            <w:webHidden/>
          </w:rPr>
          <w:instrText xml:space="preserve"> PAGEREF _Toc188951404 \h </w:instrText>
        </w:r>
        <w:r w:rsidR="00492F7E">
          <w:rPr>
            <w:noProof/>
            <w:webHidden/>
          </w:rPr>
        </w:r>
        <w:r w:rsidR="00492F7E">
          <w:rPr>
            <w:noProof/>
            <w:webHidden/>
          </w:rPr>
          <w:fldChar w:fldCharType="separate"/>
        </w:r>
        <w:r w:rsidR="00492F7E">
          <w:rPr>
            <w:noProof/>
            <w:webHidden/>
          </w:rPr>
          <w:t>4</w:t>
        </w:r>
        <w:r w:rsidR="00492F7E">
          <w:rPr>
            <w:noProof/>
            <w:webHidden/>
          </w:rPr>
          <w:fldChar w:fldCharType="end"/>
        </w:r>
      </w:hyperlink>
    </w:p>
    <w:p w14:paraId="4064E47F" w14:textId="45AC806C" w:rsidR="00492F7E" w:rsidRDefault="00492F7E">
      <w:pPr>
        <w:pStyle w:val="TOC1"/>
        <w:tabs>
          <w:tab w:val="right" w:leader="dot" w:pos="9350"/>
        </w:tabs>
        <w:rPr>
          <w:rFonts w:asciiTheme="minorHAnsi" w:eastAsiaTheme="minorEastAsia" w:hAnsiTheme="minorHAnsi" w:cstheme="minorBidi"/>
          <w:noProof/>
          <w:kern w:val="2"/>
          <w:sz w:val="24"/>
          <w14:ligatures w14:val="standardContextual"/>
        </w:rPr>
      </w:pPr>
      <w:hyperlink w:anchor="_Toc188951405" w:history="1">
        <w:r w:rsidRPr="005766B6">
          <w:rPr>
            <w:rStyle w:val="Hyperlink"/>
            <w:noProof/>
          </w:rPr>
          <w:t>SOP 1 Immediate Action</w:t>
        </w:r>
        <w:r>
          <w:rPr>
            <w:noProof/>
            <w:webHidden/>
          </w:rPr>
          <w:tab/>
        </w:r>
        <w:r>
          <w:rPr>
            <w:noProof/>
            <w:webHidden/>
          </w:rPr>
          <w:fldChar w:fldCharType="begin"/>
        </w:r>
        <w:r>
          <w:rPr>
            <w:noProof/>
            <w:webHidden/>
          </w:rPr>
          <w:instrText xml:space="preserve"> PAGEREF _Toc188951405 \h </w:instrText>
        </w:r>
        <w:r>
          <w:rPr>
            <w:noProof/>
            <w:webHidden/>
          </w:rPr>
        </w:r>
        <w:r>
          <w:rPr>
            <w:noProof/>
            <w:webHidden/>
          </w:rPr>
          <w:fldChar w:fldCharType="separate"/>
        </w:r>
        <w:r>
          <w:rPr>
            <w:noProof/>
            <w:webHidden/>
          </w:rPr>
          <w:t>6</w:t>
        </w:r>
        <w:r>
          <w:rPr>
            <w:noProof/>
            <w:webHidden/>
          </w:rPr>
          <w:fldChar w:fldCharType="end"/>
        </w:r>
      </w:hyperlink>
    </w:p>
    <w:p w14:paraId="799EAA49" w14:textId="08AE9ECE" w:rsidR="00492F7E" w:rsidRDefault="00492F7E">
      <w:pPr>
        <w:pStyle w:val="TOC1"/>
        <w:tabs>
          <w:tab w:val="right" w:leader="dot" w:pos="9350"/>
        </w:tabs>
        <w:rPr>
          <w:rFonts w:asciiTheme="minorHAnsi" w:eastAsiaTheme="minorEastAsia" w:hAnsiTheme="minorHAnsi" w:cstheme="minorBidi"/>
          <w:noProof/>
          <w:kern w:val="2"/>
          <w:sz w:val="24"/>
          <w14:ligatures w14:val="standardContextual"/>
        </w:rPr>
      </w:pPr>
      <w:hyperlink w:anchor="_Toc188951406" w:history="1">
        <w:r w:rsidRPr="005766B6">
          <w:rPr>
            <w:rStyle w:val="Hyperlink"/>
            <w:noProof/>
          </w:rPr>
          <w:t>SOP 2 Further Management and Blood Tests</w:t>
        </w:r>
        <w:r>
          <w:rPr>
            <w:noProof/>
            <w:webHidden/>
          </w:rPr>
          <w:tab/>
        </w:r>
        <w:r>
          <w:rPr>
            <w:noProof/>
            <w:webHidden/>
          </w:rPr>
          <w:fldChar w:fldCharType="begin"/>
        </w:r>
        <w:r>
          <w:rPr>
            <w:noProof/>
            <w:webHidden/>
          </w:rPr>
          <w:instrText xml:space="preserve"> PAGEREF _Toc188951406 \h </w:instrText>
        </w:r>
        <w:r>
          <w:rPr>
            <w:noProof/>
            <w:webHidden/>
          </w:rPr>
        </w:r>
        <w:r>
          <w:rPr>
            <w:noProof/>
            <w:webHidden/>
          </w:rPr>
          <w:fldChar w:fldCharType="separate"/>
        </w:r>
        <w:r>
          <w:rPr>
            <w:noProof/>
            <w:webHidden/>
          </w:rPr>
          <w:t>7</w:t>
        </w:r>
        <w:r>
          <w:rPr>
            <w:noProof/>
            <w:webHidden/>
          </w:rPr>
          <w:fldChar w:fldCharType="end"/>
        </w:r>
      </w:hyperlink>
    </w:p>
    <w:p w14:paraId="56F79DAA" w14:textId="0A5BFDA2" w:rsidR="00492F7E" w:rsidRDefault="00492F7E">
      <w:pPr>
        <w:pStyle w:val="TOC1"/>
        <w:tabs>
          <w:tab w:val="right" w:leader="dot" w:pos="9350"/>
        </w:tabs>
        <w:rPr>
          <w:rFonts w:asciiTheme="minorHAnsi" w:eastAsiaTheme="minorEastAsia" w:hAnsiTheme="minorHAnsi" w:cstheme="minorBidi"/>
          <w:noProof/>
          <w:kern w:val="2"/>
          <w:sz w:val="24"/>
          <w14:ligatures w14:val="standardContextual"/>
        </w:rPr>
      </w:pPr>
      <w:hyperlink w:anchor="_Toc188951407" w:history="1">
        <w:r w:rsidRPr="005766B6">
          <w:rPr>
            <w:rStyle w:val="Hyperlink"/>
            <w:noProof/>
          </w:rPr>
          <w:t>SOP 3 Follow up Care</w:t>
        </w:r>
        <w:r>
          <w:rPr>
            <w:noProof/>
            <w:webHidden/>
          </w:rPr>
          <w:tab/>
        </w:r>
        <w:r>
          <w:rPr>
            <w:noProof/>
            <w:webHidden/>
          </w:rPr>
          <w:fldChar w:fldCharType="begin"/>
        </w:r>
        <w:r>
          <w:rPr>
            <w:noProof/>
            <w:webHidden/>
          </w:rPr>
          <w:instrText xml:space="preserve"> PAGEREF _Toc188951407 \h </w:instrText>
        </w:r>
        <w:r>
          <w:rPr>
            <w:noProof/>
            <w:webHidden/>
          </w:rPr>
        </w:r>
        <w:r>
          <w:rPr>
            <w:noProof/>
            <w:webHidden/>
          </w:rPr>
          <w:fldChar w:fldCharType="separate"/>
        </w:r>
        <w:r>
          <w:rPr>
            <w:noProof/>
            <w:webHidden/>
          </w:rPr>
          <w:t>9</w:t>
        </w:r>
        <w:r>
          <w:rPr>
            <w:noProof/>
            <w:webHidden/>
          </w:rPr>
          <w:fldChar w:fldCharType="end"/>
        </w:r>
      </w:hyperlink>
    </w:p>
    <w:p w14:paraId="7468795E" w14:textId="26775A8F" w:rsidR="00492F7E" w:rsidRDefault="00492F7E">
      <w:pPr>
        <w:pStyle w:val="TOC1"/>
        <w:tabs>
          <w:tab w:val="right" w:leader="dot" w:pos="9350"/>
        </w:tabs>
        <w:rPr>
          <w:rFonts w:asciiTheme="minorHAnsi" w:eastAsiaTheme="minorEastAsia" w:hAnsiTheme="minorHAnsi" w:cstheme="minorBidi"/>
          <w:noProof/>
          <w:kern w:val="2"/>
          <w:sz w:val="24"/>
          <w14:ligatures w14:val="standardContextual"/>
        </w:rPr>
      </w:pPr>
      <w:hyperlink w:anchor="_Toc188951408" w:history="1">
        <w:r w:rsidRPr="005766B6">
          <w:rPr>
            <w:rStyle w:val="Hyperlink"/>
            <w:noProof/>
          </w:rPr>
          <w:t>References</w:t>
        </w:r>
        <w:r>
          <w:rPr>
            <w:noProof/>
            <w:webHidden/>
          </w:rPr>
          <w:tab/>
        </w:r>
        <w:r>
          <w:rPr>
            <w:noProof/>
            <w:webHidden/>
          </w:rPr>
          <w:fldChar w:fldCharType="begin"/>
        </w:r>
        <w:r>
          <w:rPr>
            <w:noProof/>
            <w:webHidden/>
          </w:rPr>
          <w:instrText xml:space="preserve"> PAGEREF _Toc188951408 \h </w:instrText>
        </w:r>
        <w:r>
          <w:rPr>
            <w:noProof/>
            <w:webHidden/>
          </w:rPr>
        </w:r>
        <w:r>
          <w:rPr>
            <w:noProof/>
            <w:webHidden/>
          </w:rPr>
          <w:fldChar w:fldCharType="separate"/>
        </w:r>
        <w:r>
          <w:rPr>
            <w:noProof/>
            <w:webHidden/>
          </w:rPr>
          <w:t>10</w:t>
        </w:r>
        <w:r>
          <w:rPr>
            <w:noProof/>
            <w:webHidden/>
          </w:rPr>
          <w:fldChar w:fldCharType="end"/>
        </w:r>
      </w:hyperlink>
    </w:p>
    <w:p w14:paraId="087A63B7" w14:textId="6704F997" w:rsidR="009B2BAA" w:rsidRPr="009B2BAA" w:rsidRDefault="001D4AF4" w:rsidP="003F3FC0">
      <w:pPr>
        <w:rPr>
          <w:rFonts w:cs="Arial"/>
          <w:i/>
          <w:szCs w:val="22"/>
        </w:rPr>
      </w:pPr>
      <w:r>
        <w:rPr>
          <w:b/>
          <w:bCs/>
          <w:noProof/>
        </w:rPr>
        <w:fldChar w:fldCharType="end"/>
      </w:r>
    </w:p>
    <w:p w14:paraId="1F72F646" w14:textId="77777777" w:rsidR="009B2BAA" w:rsidRDefault="009B2BAA" w:rsidP="00ED16EC">
      <w:pPr>
        <w:rPr>
          <w:rFonts w:cs="Arial"/>
          <w:szCs w:val="22"/>
        </w:rPr>
      </w:pPr>
    </w:p>
    <w:p w14:paraId="08CE6F91" w14:textId="77777777" w:rsidR="009B2BAA" w:rsidRDefault="009B2BAA" w:rsidP="00ED16EC">
      <w:pPr>
        <w:rPr>
          <w:rFonts w:cs="Arial"/>
          <w:szCs w:val="22"/>
        </w:rPr>
        <w:sectPr w:rsidR="009B2BAA" w:rsidSect="00036244">
          <w:pgSz w:w="12240" w:h="15840"/>
          <w:pgMar w:top="1440" w:right="1440" w:bottom="1440" w:left="1440" w:header="709" w:footer="709" w:gutter="0"/>
          <w:cols w:space="708"/>
          <w:docGrid w:linePitch="360"/>
        </w:sectPr>
      </w:pPr>
    </w:p>
    <w:p w14:paraId="3E7A9F1C" w14:textId="77777777" w:rsidR="00DA54D2" w:rsidRPr="00021A60" w:rsidRDefault="006979D0" w:rsidP="00ED16EC">
      <w:pPr>
        <w:pStyle w:val="Heading1"/>
        <w:rPr>
          <w:b w:val="0"/>
          <w:szCs w:val="28"/>
        </w:rPr>
      </w:pPr>
      <w:bookmarkStart w:id="0" w:name="_Toc188951404"/>
      <w:r w:rsidRPr="00021A60">
        <w:rPr>
          <w:sz w:val="28"/>
        </w:rPr>
        <w:t>Introduction</w:t>
      </w:r>
      <w:bookmarkEnd w:id="0"/>
    </w:p>
    <w:p w14:paraId="6D22AAB3" w14:textId="77777777" w:rsidR="00E735FA" w:rsidRPr="00E735FA" w:rsidRDefault="00E735FA" w:rsidP="00E735FA">
      <w:pPr>
        <w:rPr>
          <w:rFonts w:cs="Arial"/>
          <w:szCs w:val="22"/>
        </w:rPr>
      </w:pPr>
      <w:r w:rsidRPr="00E735FA">
        <w:rPr>
          <w:rFonts w:cs="Arial"/>
          <w:szCs w:val="22"/>
        </w:rPr>
        <w:t>Sharps injuries and exposure to blood or bodily fluids present a risk of transmitting infections, including hepatitis B (HBV), hepatitis C (HCV), and human immunodeficiency virus (HIV). These Standard Operating Procedures (SOPs) provide guidance on the required actions following a sharps injury or exposure incident, ensuring the safety of staff and others involved.</w:t>
      </w:r>
    </w:p>
    <w:p w14:paraId="65FB8F15" w14:textId="77777777" w:rsidR="00E735FA" w:rsidRPr="00E735FA" w:rsidRDefault="00E735FA" w:rsidP="00E735FA">
      <w:pPr>
        <w:rPr>
          <w:rFonts w:cs="Arial"/>
          <w:szCs w:val="22"/>
        </w:rPr>
      </w:pPr>
    </w:p>
    <w:p w14:paraId="7EAD14C8" w14:textId="07F42D2D" w:rsidR="00E735FA" w:rsidRPr="00E735FA" w:rsidRDefault="00E735FA" w:rsidP="00E735FA">
      <w:pPr>
        <w:rPr>
          <w:rFonts w:cs="Arial"/>
        </w:rPr>
      </w:pPr>
      <w:r w:rsidRPr="57D26383">
        <w:rPr>
          <w:rFonts w:cs="Arial"/>
        </w:rPr>
        <w:t>This procedure</w:t>
      </w:r>
      <w:r w:rsidR="007A1335" w:rsidRPr="57D26383">
        <w:rPr>
          <w:rFonts w:cs="Arial"/>
        </w:rPr>
        <w:t xml:space="preserve"> document</w:t>
      </w:r>
      <w:r w:rsidRPr="57D26383">
        <w:rPr>
          <w:rFonts w:cs="Arial"/>
        </w:rPr>
        <w:t xml:space="preserve"> applies to all</w:t>
      </w:r>
      <w:r w:rsidR="00DF1C91">
        <w:rPr>
          <w:rFonts w:cs="Arial"/>
        </w:rPr>
        <w:t xml:space="preserve"> staff</w:t>
      </w:r>
      <w:r w:rsidRPr="57D26383">
        <w:rPr>
          <w:rFonts w:cs="Arial"/>
        </w:rPr>
        <w:t xml:space="preserve"> who may come into contact with medical sharps or blood and bodily fluids, including situations involving human or animal bites. It also outlines specific actions required by other staff members and considerations relevant to patients.</w:t>
      </w:r>
    </w:p>
    <w:p w14:paraId="51033C09" w14:textId="77777777" w:rsidR="00E735FA" w:rsidRPr="00E735FA" w:rsidRDefault="00E735FA" w:rsidP="00E735FA">
      <w:pPr>
        <w:rPr>
          <w:rFonts w:cs="Arial"/>
          <w:szCs w:val="22"/>
        </w:rPr>
      </w:pPr>
    </w:p>
    <w:p w14:paraId="1BE964AA" w14:textId="77777777" w:rsidR="007A7DA0" w:rsidRDefault="00E735FA" w:rsidP="00E735FA">
      <w:pPr>
        <w:rPr>
          <w:rFonts w:cs="Arial"/>
          <w:szCs w:val="22"/>
        </w:rPr>
      </w:pPr>
      <w:r w:rsidRPr="00E735FA">
        <w:rPr>
          <w:rFonts w:cs="Arial"/>
          <w:szCs w:val="22"/>
        </w:rPr>
        <w:t>For the purposes of this SOP, ‘exposure’ is defined as:</w:t>
      </w:r>
    </w:p>
    <w:p w14:paraId="62D83C39" w14:textId="77777777" w:rsidR="007A7DA0" w:rsidRDefault="00E735FA" w:rsidP="00E735FA">
      <w:pPr>
        <w:pStyle w:val="ListParagraph"/>
        <w:numPr>
          <w:ilvl w:val="0"/>
          <w:numId w:val="4"/>
        </w:numPr>
        <w:rPr>
          <w:rFonts w:cs="Arial"/>
          <w:szCs w:val="22"/>
        </w:rPr>
      </w:pPr>
      <w:r w:rsidRPr="007A7DA0">
        <w:rPr>
          <w:rFonts w:cs="Arial"/>
          <w:szCs w:val="22"/>
        </w:rPr>
        <w:t>Percutaneous injuries, such as those caused by used needles, sharp objects, or bites that break the skin.</w:t>
      </w:r>
    </w:p>
    <w:p w14:paraId="1DBB595E" w14:textId="77777777" w:rsidR="007A7DA0" w:rsidRDefault="00E735FA" w:rsidP="00E735FA">
      <w:pPr>
        <w:pStyle w:val="ListParagraph"/>
        <w:numPr>
          <w:ilvl w:val="0"/>
          <w:numId w:val="4"/>
        </w:numPr>
        <w:rPr>
          <w:rFonts w:cs="Arial"/>
          <w:szCs w:val="22"/>
        </w:rPr>
      </w:pPr>
      <w:r w:rsidRPr="007A7DA0">
        <w:rPr>
          <w:rFonts w:cs="Arial"/>
          <w:szCs w:val="22"/>
        </w:rPr>
        <w:t>Mucocutaneous exposure, including splashes into the eyes, mouth, or onto broken skin (e.g., cuts or eczema).</w:t>
      </w:r>
    </w:p>
    <w:p w14:paraId="5B2FFCB4" w14:textId="796B2019" w:rsidR="00E735FA" w:rsidRPr="007A7DA0" w:rsidRDefault="00E735FA" w:rsidP="00E735FA">
      <w:pPr>
        <w:pStyle w:val="ListParagraph"/>
        <w:numPr>
          <w:ilvl w:val="0"/>
          <w:numId w:val="4"/>
        </w:numPr>
        <w:rPr>
          <w:rFonts w:cs="Arial"/>
          <w:szCs w:val="22"/>
        </w:rPr>
      </w:pPr>
      <w:r w:rsidRPr="007A7DA0">
        <w:rPr>
          <w:rFonts w:cs="Arial"/>
          <w:szCs w:val="22"/>
        </w:rPr>
        <w:t>Human bites that result in broken skin.</w:t>
      </w:r>
    </w:p>
    <w:p w14:paraId="000794D5" w14:textId="77777777" w:rsidR="007A7DA0" w:rsidRDefault="007A7DA0" w:rsidP="00E735FA">
      <w:pPr>
        <w:rPr>
          <w:rFonts w:cs="Arial"/>
          <w:szCs w:val="22"/>
        </w:rPr>
      </w:pPr>
    </w:p>
    <w:p w14:paraId="5AFE781B" w14:textId="37602F69" w:rsidR="00E735FA" w:rsidRPr="007A7DA0" w:rsidRDefault="00E735FA" w:rsidP="00E735FA">
      <w:pPr>
        <w:rPr>
          <w:rFonts w:cs="Arial"/>
          <w:b/>
          <w:bCs/>
          <w:szCs w:val="22"/>
        </w:rPr>
      </w:pPr>
      <w:r w:rsidRPr="007A7DA0">
        <w:rPr>
          <w:rFonts w:cs="Arial"/>
          <w:b/>
          <w:bCs/>
          <w:szCs w:val="22"/>
        </w:rPr>
        <w:t>Risk of Transmission</w:t>
      </w:r>
    </w:p>
    <w:p w14:paraId="689736EB" w14:textId="77777777" w:rsidR="007A7DA0" w:rsidRDefault="00E735FA" w:rsidP="00E735FA">
      <w:pPr>
        <w:rPr>
          <w:rFonts w:cs="Arial"/>
          <w:szCs w:val="22"/>
        </w:rPr>
      </w:pPr>
      <w:r w:rsidRPr="00E735FA">
        <w:rPr>
          <w:rFonts w:cs="Arial"/>
          <w:szCs w:val="22"/>
        </w:rPr>
        <w:t>Exposure to contaminated sharps or bodily fluids carries the potential to transmit blood-borne viruses (BBVs). Factors influencing transmission risk include:</w:t>
      </w:r>
    </w:p>
    <w:p w14:paraId="2F126C7A" w14:textId="77777777" w:rsidR="007A7DA0" w:rsidRDefault="00E735FA" w:rsidP="00E735FA">
      <w:pPr>
        <w:pStyle w:val="ListParagraph"/>
        <w:numPr>
          <w:ilvl w:val="0"/>
          <w:numId w:val="5"/>
        </w:numPr>
        <w:rPr>
          <w:rFonts w:cs="Arial"/>
          <w:szCs w:val="22"/>
        </w:rPr>
      </w:pPr>
      <w:r w:rsidRPr="007A7DA0">
        <w:rPr>
          <w:rFonts w:cs="Arial"/>
          <w:szCs w:val="22"/>
        </w:rPr>
        <w:t>Whether the source patient is infected.</w:t>
      </w:r>
    </w:p>
    <w:p w14:paraId="22625090" w14:textId="77777777" w:rsidR="007A7DA0" w:rsidRDefault="00E735FA" w:rsidP="00E735FA">
      <w:pPr>
        <w:pStyle w:val="ListParagraph"/>
        <w:numPr>
          <w:ilvl w:val="0"/>
          <w:numId w:val="5"/>
        </w:numPr>
        <w:rPr>
          <w:rFonts w:cs="Arial"/>
          <w:szCs w:val="22"/>
        </w:rPr>
      </w:pPr>
      <w:r w:rsidRPr="007A7DA0">
        <w:rPr>
          <w:rFonts w:cs="Arial"/>
          <w:szCs w:val="22"/>
        </w:rPr>
        <w:t>The viral load in the source patient’s blood.</w:t>
      </w:r>
    </w:p>
    <w:p w14:paraId="6C5DE535" w14:textId="77777777" w:rsidR="007A7DA0" w:rsidRDefault="00E735FA" w:rsidP="00E735FA">
      <w:pPr>
        <w:pStyle w:val="ListParagraph"/>
        <w:numPr>
          <w:ilvl w:val="0"/>
          <w:numId w:val="5"/>
        </w:numPr>
        <w:rPr>
          <w:rFonts w:cs="Arial"/>
          <w:szCs w:val="22"/>
        </w:rPr>
      </w:pPr>
      <w:r w:rsidRPr="007A7DA0">
        <w:rPr>
          <w:rFonts w:cs="Arial"/>
          <w:szCs w:val="22"/>
        </w:rPr>
        <w:t>The volume of blood or bodily fluid involved.</w:t>
      </w:r>
    </w:p>
    <w:p w14:paraId="63A446A5" w14:textId="77777777" w:rsidR="007A7DA0" w:rsidRDefault="00E735FA" w:rsidP="00E735FA">
      <w:pPr>
        <w:pStyle w:val="ListParagraph"/>
        <w:numPr>
          <w:ilvl w:val="0"/>
          <w:numId w:val="5"/>
        </w:numPr>
        <w:rPr>
          <w:rFonts w:cs="Arial"/>
          <w:szCs w:val="22"/>
        </w:rPr>
      </w:pPr>
      <w:r w:rsidRPr="007A7DA0">
        <w:rPr>
          <w:rFonts w:cs="Arial"/>
          <w:szCs w:val="22"/>
        </w:rPr>
        <w:t>The type of sharp object used.</w:t>
      </w:r>
    </w:p>
    <w:p w14:paraId="607FD604" w14:textId="77777777" w:rsidR="007A7DA0" w:rsidRDefault="00E735FA" w:rsidP="00E735FA">
      <w:pPr>
        <w:pStyle w:val="ListParagraph"/>
        <w:numPr>
          <w:ilvl w:val="0"/>
          <w:numId w:val="5"/>
        </w:numPr>
        <w:rPr>
          <w:rFonts w:cs="Arial"/>
          <w:szCs w:val="22"/>
        </w:rPr>
      </w:pPr>
      <w:r w:rsidRPr="007A7DA0">
        <w:rPr>
          <w:rFonts w:cs="Arial"/>
          <w:szCs w:val="22"/>
        </w:rPr>
        <w:t>The time elapsed since the injury.</w:t>
      </w:r>
    </w:p>
    <w:p w14:paraId="4FAC5883" w14:textId="77777777" w:rsidR="007A7DA0" w:rsidRDefault="00E735FA" w:rsidP="00E735FA">
      <w:pPr>
        <w:pStyle w:val="ListParagraph"/>
        <w:numPr>
          <w:ilvl w:val="0"/>
          <w:numId w:val="5"/>
        </w:numPr>
        <w:rPr>
          <w:rFonts w:cs="Arial"/>
          <w:szCs w:val="22"/>
        </w:rPr>
      </w:pPr>
      <w:r w:rsidRPr="007A7DA0">
        <w:rPr>
          <w:rFonts w:cs="Arial"/>
          <w:szCs w:val="22"/>
        </w:rPr>
        <w:t>The nature and depth of the injury.</w:t>
      </w:r>
    </w:p>
    <w:p w14:paraId="24559E42" w14:textId="3A2E170F" w:rsidR="00E735FA" w:rsidRPr="007A7DA0" w:rsidRDefault="00E735FA" w:rsidP="00E735FA">
      <w:pPr>
        <w:pStyle w:val="ListParagraph"/>
        <w:numPr>
          <w:ilvl w:val="0"/>
          <w:numId w:val="5"/>
        </w:numPr>
        <w:rPr>
          <w:rFonts w:cs="Arial"/>
          <w:szCs w:val="22"/>
        </w:rPr>
      </w:pPr>
      <w:r w:rsidRPr="007A7DA0">
        <w:rPr>
          <w:rFonts w:cs="Arial"/>
          <w:szCs w:val="22"/>
        </w:rPr>
        <w:t>The immune status of the injured person (HSE, 2022; PHE, 2019; Riddell et al., 2015).</w:t>
      </w:r>
    </w:p>
    <w:p w14:paraId="03A51668" w14:textId="77777777" w:rsidR="00E735FA" w:rsidRPr="00E735FA" w:rsidRDefault="00E735FA" w:rsidP="00E735FA">
      <w:pPr>
        <w:rPr>
          <w:rFonts w:cs="Arial"/>
          <w:szCs w:val="22"/>
        </w:rPr>
      </w:pPr>
      <w:r w:rsidRPr="00E735FA">
        <w:rPr>
          <w:rFonts w:cs="Arial"/>
          <w:szCs w:val="22"/>
        </w:rPr>
        <w:t>Exposure of unbroken skin to blood or bodily fluids has not been associated with BBV transmission. Injuries involving unused needles or sharps also do not pose a risk of BBV transmission but should still be cleaned thoroughly, with the wound covered by a waterproof dressing to reduce infection risk.</w:t>
      </w:r>
    </w:p>
    <w:p w14:paraId="6F5951BF" w14:textId="77777777" w:rsidR="00E735FA" w:rsidRDefault="00E735FA" w:rsidP="00E735FA">
      <w:pPr>
        <w:rPr>
          <w:rFonts w:cs="Arial"/>
          <w:szCs w:val="22"/>
        </w:rPr>
      </w:pPr>
    </w:p>
    <w:p w14:paraId="3345D63D" w14:textId="77777777" w:rsidR="00DA0F4A" w:rsidRPr="00E735FA" w:rsidRDefault="00DA0F4A" w:rsidP="77294F49">
      <w:pPr>
        <w:rPr>
          <w:rFonts w:cs="Arial"/>
        </w:rPr>
      </w:pPr>
    </w:p>
    <w:p w14:paraId="58674B27" w14:textId="26481162" w:rsidR="77294F49" w:rsidRDefault="77294F49" w:rsidP="77294F49">
      <w:pPr>
        <w:rPr>
          <w:rFonts w:cs="Arial"/>
        </w:rPr>
      </w:pPr>
    </w:p>
    <w:p w14:paraId="50A1EE8B" w14:textId="77777777" w:rsidR="00E735FA" w:rsidRPr="00E7483E" w:rsidRDefault="00E735FA" w:rsidP="00E735FA">
      <w:pPr>
        <w:rPr>
          <w:rFonts w:cs="Arial"/>
          <w:b/>
          <w:bCs/>
          <w:szCs w:val="22"/>
        </w:rPr>
      </w:pPr>
      <w:r w:rsidRPr="00E7483E">
        <w:rPr>
          <w:rFonts w:cs="Arial"/>
          <w:b/>
          <w:bCs/>
          <w:szCs w:val="22"/>
        </w:rPr>
        <w:t>Low-Risk Exposures</w:t>
      </w:r>
    </w:p>
    <w:p w14:paraId="6F492289" w14:textId="57F5A9FE" w:rsidR="00E735FA" w:rsidRPr="00E735FA" w:rsidRDefault="00E735FA" w:rsidP="00E735FA">
      <w:pPr>
        <w:rPr>
          <w:rFonts w:cs="Arial"/>
          <w:szCs w:val="22"/>
        </w:rPr>
      </w:pPr>
      <w:r w:rsidRPr="00E735FA">
        <w:rPr>
          <w:rFonts w:cs="Arial"/>
          <w:szCs w:val="22"/>
        </w:rPr>
        <w:t xml:space="preserve">Certain body fluids, such as urine, vomit, faeces, sputum, and saliva, are typically considered </w:t>
      </w:r>
      <w:r w:rsidR="00A86DC2" w:rsidRPr="00E735FA">
        <w:rPr>
          <w:rFonts w:cs="Arial"/>
          <w:szCs w:val="22"/>
        </w:rPr>
        <w:t>low risk</w:t>
      </w:r>
      <w:r w:rsidRPr="00E735FA">
        <w:rPr>
          <w:rFonts w:cs="Arial"/>
          <w:szCs w:val="22"/>
        </w:rPr>
        <w:t xml:space="preserve"> unless visibly contaminated with blood. Appropriate cleaning and monitoring are still recommended in such cases to minimise other infection risks (RCN, 2023; HSE, 2013).</w:t>
      </w:r>
    </w:p>
    <w:p w14:paraId="63BECC04" w14:textId="77777777" w:rsidR="00E735FA" w:rsidRPr="00E735FA" w:rsidRDefault="00E735FA" w:rsidP="00E735FA">
      <w:pPr>
        <w:rPr>
          <w:rFonts w:cs="Arial"/>
          <w:szCs w:val="22"/>
        </w:rPr>
      </w:pPr>
    </w:p>
    <w:p w14:paraId="29A5A52C" w14:textId="77777777" w:rsidR="00E735FA" w:rsidRPr="00E7483E" w:rsidRDefault="00E735FA" w:rsidP="00E735FA">
      <w:pPr>
        <w:rPr>
          <w:rFonts w:cs="Arial"/>
          <w:b/>
          <w:bCs/>
          <w:szCs w:val="22"/>
        </w:rPr>
      </w:pPr>
      <w:r w:rsidRPr="00E7483E">
        <w:rPr>
          <w:rFonts w:cs="Arial"/>
          <w:b/>
          <w:bCs/>
          <w:szCs w:val="22"/>
        </w:rPr>
        <w:t>Source Patient</w:t>
      </w:r>
    </w:p>
    <w:p w14:paraId="52BE5C27" w14:textId="77777777" w:rsidR="00E735FA" w:rsidRPr="00E735FA" w:rsidRDefault="00E735FA" w:rsidP="00E735FA">
      <w:pPr>
        <w:rPr>
          <w:rFonts w:cs="Arial"/>
          <w:szCs w:val="22"/>
        </w:rPr>
      </w:pPr>
      <w:r w:rsidRPr="00E735FA">
        <w:rPr>
          <w:rFonts w:cs="Arial"/>
          <w:szCs w:val="22"/>
        </w:rPr>
        <w:t>The Source Patient refers to the individual whose blood or bodily fluids were involved in the exposure incident. Identifying and assessing the source patient is an essential step in evaluating the risk of infection and determining the required follow-up actions.</w:t>
      </w:r>
    </w:p>
    <w:p w14:paraId="6BE235D5" w14:textId="77777777" w:rsidR="00E735FA" w:rsidRPr="00E735FA" w:rsidRDefault="00E735FA" w:rsidP="00E735FA">
      <w:pPr>
        <w:rPr>
          <w:rFonts w:cs="Arial"/>
          <w:szCs w:val="22"/>
        </w:rPr>
      </w:pPr>
    </w:p>
    <w:p w14:paraId="60381B45" w14:textId="77777777" w:rsidR="00E735FA" w:rsidRPr="00E7483E" w:rsidRDefault="00E735FA" w:rsidP="00E735FA">
      <w:pPr>
        <w:rPr>
          <w:rFonts w:cs="Arial"/>
          <w:b/>
          <w:bCs/>
          <w:szCs w:val="22"/>
        </w:rPr>
      </w:pPr>
      <w:r w:rsidRPr="00E7483E">
        <w:rPr>
          <w:rFonts w:cs="Arial"/>
          <w:b/>
          <w:bCs/>
          <w:szCs w:val="22"/>
        </w:rPr>
        <w:t>Key Considerations</w:t>
      </w:r>
    </w:p>
    <w:p w14:paraId="364D422E" w14:textId="77777777" w:rsidR="00E7483E" w:rsidRDefault="00E735FA" w:rsidP="00E735FA">
      <w:pPr>
        <w:rPr>
          <w:rFonts w:cs="Arial"/>
          <w:szCs w:val="22"/>
        </w:rPr>
      </w:pPr>
      <w:r w:rsidRPr="00E735FA">
        <w:rPr>
          <w:rFonts w:cs="Arial"/>
          <w:szCs w:val="22"/>
        </w:rPr>
        <w:t>To minimise the risk of sharps injuries and exposure:</w:t>
      </w:r>
    </w:p>
    <w:p w14:paraId="6B26DBD8" w14:textId="77777777" w:rsidR="00E7483E" w:rsidRDefault="00E735FA" w:rsidP="00E735FA">
      <w:pPr>
        <w:pStyle w:val="ListParagraph"/>
        <w:numPr>
          <w:ilvl w:val="0"/>
          <w:numId w:val="6"/>
        </w:numPr>
        <w:rPr>
          <w:rFonts w:cs="Arial"/>
          <w:szCs w:val="22"/>
        </w:rPr>
      </w:pPr>
      <w:r w:rsidRPr="00E7483E">
        <w:rPr>
          <w:rFonts w:cs="Arial"/>
          <w:szCs w:val="22"/>
        </w:rPr>
        <w:t>Conduct thorough risk assessments.</w:t>
      </w:r>
    </w:p>
    <w:p w14:paraId="12F5ABC2" w14:textId="77777777" w:rsidR="00E7483E" w:rsidRDefault="00E735FA" w:rsidP="00E735FA">
      <w:pPr>
        <w:pStyle w:val="ListParagraph"/>
        <w:numPr>
          <w:ilvl w:val="0"/>
          <w:numId w:val="6"/>
        </w:numPr>
        <w:rPr>
          <w:rFonts w:cs="Arial"/>
          <w:szCs w:val="22"/>
        </w:rPr>
      </w:pPr>
      <w:r w:rsidRPr="00E7483E">
        <w:rPr>
          <w:rFonts w:cs="Arial"/>
          <w:szCs w:val="22"/>
        </w:rPr>
        <w:t>Provide staff education and training on the safe use and disposal of sharps.</w:t>
      </w:r>
    </w:p>
    <w:p w14:paraId="7BF3A141" w14:textId="77777777" w:rsidR="00E7483E" w:rsidRDefault="00E735FA" w:rsidP="00E735FA">
      <w:pPr>
        <w:pStyle w:val="ListParagraph"/>
        <w:numPr>
          <w:ilvl w:val="0"/>
          <w:numId w:val="6"/>
        </w:numPr>
        <w:rPr>
          <w:rFonts w:cs="Arial"/>
          <w:szCs w:val="22"/>
        </w:rPr>
      </w:pPr>
      <w:r w:rsidRPr="00E7483E">
        <w:rPr>
          <w:rFonts w:cs="Arial"/>
          <w:szCs w:val="22"/>
        </w:rPr>
        <w:t>Implement the use of safety-engineered sharps devices wherever possible.</w:t>
      </w:r>
    </w:p>
    <w:p w14:paraId="0B380F1F" w14:textId="2292FCA9" w:rsidR="00E735FA" w:rsidRPr="00E7483E" w:rsidRDefault="00E735FA" w:rsidP="00E735FA">
      <w:pPr>
        <w:pStyle w:val="ListParagraph"/>
        <w:numPr>
          <w:ilvl w:val="0"/>
          <w:numId w:val="6"/>
        </w:numPr>
        <w:rPr>
          <w:rFonts w:cs="Arial"/>
          <w:szCs w:val="22"/>
        </w:rPr>
      </w:pPr>
      <w:r w:rsidRPr="00E7483E">
        <w:rPr>
          <w:rFonts w:cs="Arial"/>
          <w:szCs w:val="22"/>
        </w:rPr>
        <w:t>Follow proper procedures for handling and disposing of contaminated items.</w:t>
      </w:r>
    </w:p>
    <w:p w14:paraId="21B49044" w14:textId="7605F6F3" w:rsidR="00C97F7E" w:rsidRPr="00C97F7E" w:rsidRDefault="00E735FA" w:rsidP="00E735FA">
      <w:pPr>
        <w:rPr>
          <w:rFonts w:cs="Arial"/>
          <w:szCs w:val="22"/>
        </w:rPr>
      </w:pPr>
      <w:r w:rsidRPr="00E735FA">
        <w:rPr>
          <w:rFonts w:cs="Arial"/>
          <w:szCs w:val="22"/>
        </w:rPr>
        <w:t>(RCN, 2023; WHO, 2020; PHE, 2019; UKHSA, 2021).</w:t>
      </w:r>
    </w:p>
    <w:p w14:paraId="6BB9E253" w14:textId="77777777" w:rsidR="00716280" w:rsidRPr="00295F59" w:rsidRDefault="00716280" w:rsidP="00ED16EC">
      <w:pPr>
        <w:rPr>
          <w:rFonts w:cs="Arial"/>
          <w:szCs w:val="22"/>
        </w:rPr>
      </w:pPr>
    </w:p>
    <w:p w14:paraId="23DE523C" w14:textId="77777777" w:rsidR="00716280" w:rsidRPr="00295F59" w:rsidRDefault="00716280" w:rsidP="00ED16EC">
      <w:pPr>
        <w:rPr>
          <w:rFonts w:cs="Arial"/>
          <w:szCs w:val="22"/>
        </w:rPr>
      </w:pPr>
    </w:p>
    <w:p w14:paraId="52E56223" w14:textId="77777777" w:rsidR="00F7089A" w:rsidRDefault="00F7089A" w:rsidP="00ED16EC">
      <w:pPr>
        <w:rPr>
          <w:rFonts w:cs="Arial"/>
          <w:szCs w:val="22"/>
        </w:rPr>
        <w:sectPr w:rsidR="00F7089A" w:rsidSect="00036244">
          <w:pgSz w:w="12240" w:h="15840"/>
          <w:pgMar w:top="1440" w:right="1440" w:bottom="1440" w:left="1440" w:header="709" w:footer="518" w:gutter="0"/>
          <w:cols w:space="708"/>
          <w:docGrid w:linePitch="360"/>
        </w:sectPr>
      </w:pPr>
    </w:p>
    <w:p w14:paraId="350B48F3" w14:textId="6B73C312" w:rsidR="006979D0" w:rsidRPr="00C676A7" w:rsidRDefault="00F7089A" w:rsidP="00BE1EF3">
      <w:pPr>
        <w:pStyle w:val="Heading1"/>
      </w:pPr>
      <w:bookmarkStart w:id="1" w:name="_Toc188951405"/>
      <w:r w:rsidRPr="00BE1EF3">
        <w:t>SOP</w:t>
      </w:r>
      <w:r>
        <w:t xml:space="preserve"> 1</w:t>
      </w:r>
      <w:r w:rsidR="00F60427">
        <w:t xml:space="preserve"> Immediate Action</w:t>
      </w:r>
      <w:bookmarkEnd w:id="1"/>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39EC13BE" w14:textId="77777777" w:rsidTr="009F0B51">
        <w:tc>
          <w:tcPr>
            <w:tcW w:w="9351" w:type="dxa"/>
            <w:tcBorders>
              <w:top w:val="single" w:sz="4" w:space="0" w:color="auto"/>
              <w:bottom w:val="single" w:sz="4" w:space="0" w:color="auto"/>
            </w:tcBorders>
            <w:shd w:val="clear" w:color="auto" w:fill="E6E6E6"/>
          </w:tcPr>
          <w:p w14:paraId="426690FC" w14:textId="77777777" w:rsidR="006979D0" w:rsidRPr="00627A52" w:rsidRDefault="006979D0" w:rsidP="00ED16EC">
            <w:pPr>
              <w:rPr>
                <w:rFonts w:cs="Arial"/>
                <w:b/>
                <w:i/>
              </w:rPr>
            </w:pPr>
            <w:r w:rsidRPr="00C676A7">
              <w:rPr>
                <w:rFonts w:cs="Arial"/>
                <w:b/>
                <w:i/>
                <w:szCs w:val="22"/>
              </w:rPr>
              <w:t>Purpose</w:t>
            </w:r>
          </w:p>
        </w:tc>
      </w:tr>
    </w:tbl>
    <w:p w14:paraId="07547A01" w14:textId="3C751C36" w:rsidR="006979D0" w:rsidRPr="00F7089A" w:rsidRDefault="00AA558A" w:rsidP="00BE1EF3">
      <w:r w:rsidRPr="00AA558A">
        <w:t>To outline the immediate action to take following an exposure injury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56DABE0D" w14:textId="77777777" w:rsidTr="009F0B51">
        <w:tc>
          <w:tcPr>
            <w:tcW w:w="9351" w:type="dxa"/>
            <w:shd w:val="clear" w:color="auto" w:fill="E6E6E6"/>
          </w:tcPr>
          <w:p w14:paraId="5BDA29DB" w14:textId="77777777" w:rsidR="006979D0" w:rsidRPr="00627A52" w:rsidRDefault="006979D0" w:rsidP="00ED16EC">
            <w:pPr>
              <w:rPr>
                <w:rFonts w:cs="Arial"/>
                <w:b/>
                <w:i/>
              </w:rPr>
            </w:pPr>
            <w:r w:rsidRPr="00C676A7">
              <w:rPr>
                <w:rFonts w:cs="Arial"/>
                <w:b/>
                <w:i/>
                <w:szCs w:val="22"/>
              </w:rPr>
              <w:t>Scope</w:t>
            </w:r>
          </w:p>
        </w:tc>
      </w:tr>
    </w:tbl>
    <w:p w14:paraId="5043CB0F" w14:textId="77851CB5" w:rsidR="006979D0" w:rsidRPr="00F7089A" w:rsidRDefault="00AA558A" w:rsidP="00BE1EF3">
      <w:r w:rsidRPr="00AA558A">
        <w:t>This SOP applies to any employee who sustains an exposure injury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146B3E55" w14:textId="77777777" w:rsidTr="009F0B51">
        <w:tc>
          <w:tcPr>
            <w:tcW w:w="9351" w:type="dxa"/>
            <w:shd w:val="clear" w:color="auto" w:fill="E6E6E6"/>
          </w:tcPr>
          <w:p w14:paraId="5A8DBD9D"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54D79C28" w14:textId="360D8FF6" w:rsidR="00034373" w:rsidRDefault="00034373" w:rsidP="00034373">
      <w:r>
        <w:t>In the event of an exposure injury, the affected staff member must take the following steps promptly:</w:t>
      </w:r>
    </w:p>
    <w:p w14:paraId="6127A1F9" w14:textId="77777777" w:rsidR="00492F7E" w:rsidRDefault="00492F7E" w:rsidP="00492F7E">
      <w:pPr>
        <w:spacing w:before="0"/>
        <w:rPr>
          <w:b/>
          <w:bCs/>
        </w:rPr>
      </w:pPr>
    </w:p>
    <w:p w14:paraId="2782290B" w14:textId="262B2B44" w:rsidR="00034373" w:rsidRDefault="00034373" w:rsidP="00492F7E">
      <w:pPr>
        <w:spacing w:before="0"/>
        <w:rPr>
          <w:b/>
          <w:bCs/>
        </w:rPr>
      </w:pPr>
      <w:r w:rsidRPr="00034373">
        <w:rPr>
          <w:b/>
          <w:bCs/>
        </w:rPr>
        <w:t>Clean the Affected Area</w:t>
      </w:r>
    </w:p>
    <w:p w14:paraId="7E9E5D2E" w14:textId="041A02C9" w:rsidR="00034373" w:rsidRPr="00034373" w:rsidRDefault="00034373" w:rsidP="00492F7E">
      <w:pPr>
        <w:pStyle w:val="ListParagraph"/>
        <w:numPr>
          <w:ilvl w:val="0"/>
          <w:numId w:val="7"/>
        </w:numPr>
        <w:spacing w:before="0"/>
        <w:rPr>
          <w:b/>
          <w:bCs/>
        </w:rPr>
      </w:pPr>
      <w:r>
        <w:t>Wash the affected area thoroughly with copious amounts of running water.</w:t>
      </w:r>
    </w:p>
    <w:p w14:paraId="2674971B" w14:textId="7629F861" w:rsidR="00492F7E" w:rsidRPr="00492F7E" w:rsidRDefault="00034373" w:rsidP="00492F7E">
      <w:pPr>
        <w:pStyle w:val="ListParagraph"/>
        <w:numPr>
          <w:ilvl w:val="0"/>
          <w:numId w:val="7"/>
        </w:numPr>
        <w:spacing w:before="0"/>
        <w:rPr>
          <w:b/>
          <w:bCs/>
        </w:rPr>
      </w:pPr>
      <w:r>
        <w:t>If the exposure involves the eyes and contact lenses are worn, irrigate the eyes both before and after removing the lenses</w:t>
      </w:r>
      <w:r w:rsidR="00622D6D">
        <w:t>.</w:t>
      </w:r>
    </w:p>
    <w:p w14:paraId="51F6C676" w14:textId="77777777" w:rsidR="00492F7E" w:rsidRDefault="00492F7E" w:rsidP="00492F7E">
      <w:pPr>
        <w:spacing w:before="0"/>
        <w:rPr>
          <w:b/>
          <w:bCs/>
        </w:rPr>
      </w:pPr>
    </w:p>
    <w:p w14:paraId="57AA7663" w14:textId="432A89D7" w:rsidR="00034373" w:rsidRPr="00622D6D" w:rsidRDefault="00034373" w:rsidP="00492F7E">
      <w:pPr>
        <w:spacing w:before="0"/>
        <w:rPr>
          <w:b/>
          <w:bCs/>
        </w:rPr>
      </w:pPr>
      <w:r w:rsidRPr="00622D6D">
        <w:rPr>
          <w:b/>
          <w:bCs/>
        </w:rPr>
        <w:t>Cover the Wound</w:t>
      </w:r>
    </w:p>
    <w:p w14:paraId="199E7DFD" w14:textId="4F2E65CA" w:rsidR="003E4748" w:rsidRDefault="00034373" w:rsidP="00492F7E">
      <w:pPr>
        <w:spacing w:before="0"/>
      </w:pPr>
      <w:r>
        <w:t>If the injury is still bleeding, apply a plaster or waterproof dressing to the affected area.</w:t>
      </w:r>
    </w:p>
    <w:p w14:paraId="415EFAF0" w14:textId="77777777" w:rsidR="00492F7E" w:rsidRDefault="00492F7E" w:rsidP="00492F7E">
      <w:pPr>
        <w:spacing w:before="0"/>
        <w:rPr>
          <w:b/>
          <w:bCs/>
        </w:rPr>
      </w:pPr>
    </w:p>
    <w:p w14:paraId="1575B052" w14:textId="0328700B" w:rsidR="003E4748" w:rsidRPr="003E4748" w:rsidRDefault="00034373" w:rsidP="00492F7E">
      <w:pPr>
        <w:spacing w:before="0"/>
        <w:rPr>
          <w:b/>
          <w:bCs/>
        </w:rPr>
      </w:pPr>
      <w:r w:rsidRPr="003E4748">
        <w:rPr>
          <w:b/>
          <w:bCs/>
        </w:rPr>
        <w:t>Record the Incident</w:t>
      </w:r>
    </w:p>
    <w:p w14:paraId="3F665A2C" w14:textId="72F50185" w:rsidR="003E4748" w:rsidRDefault="00034373" w:rsidP="00492F7E">
      <w:pPr>
        <w:spacing w:before="0"/>
      </w:pPr>
      <w:r>
        <w:t>Document the incident in the patient or client’s records.</w:t>
      </w:r>
    </w:p>
    <w:p w14:paraId="305C2A18" w14:textId="77777777" w:rsidR="00492F7E" w:rsidRDefault="00492F7E" w:rsidP="00492F7E">
      <w:pPr>
        <w:spacing w:before="0"/>
        <w:rPr>
          <w:b/>
          <w:bCs/>
        </w:rPr>
      </w:pPr>
    </w:p>
    <w:p w14:paraId="3444936C" w14:textId="59D9BBAC" w:rsidR="00034373" w:rsidRPr="003E4748" w:rsidRDefault="00034373" w:rsidP="00492F7E">
      <w:pPr>
        <w:spacing w:before="0"/>
        <w:rPr>
          <w:b/>
          <w:bCs/>
        </w:rPr>
      </w:pPr>
      <w:r w:rsidRPr="77294F49">
        <w:rPr>
          <w:b/>
          <w:bCs/>
        </w:rPr>
        <w:t xml:space="preserve">Inform the </w:t>
      </w:r>
      <w:r w:rsidR="361FD43C" w:rsidRPr="77294F49">
        <w:rPr>
          <w:b/>
          <w:bCs/>
        </w:rPr>
        <w:t>L</w:t>
      </w:r>
      <w:r w:rsidR="00743243" w:rsidRPr="77294F49">
        <w:rPr>
          <w:b/>
          <w:bCs/>
        </w:rPr>
        <w:t xml:space="preserve">ine </w:t>
      </w:r>
      <w:r w:rsidR="671C0C77" w:rsidRPr="77294F49">
        <w:rPr>
          <w:b/>
          <w:bCs/>
        </w:rPr>
        <w:t>M</w:t>
      </w:r>
      <w:r w:rsidR="00743243" w:rsidRPr="77294F49">
        <w:rPr>
          <w:b/>
          <w:bCs/>
        </w:rPr>
        <w:t>anager</w:t>
      </w:r>
    </w:p>
    <w:p w14:paraId="594204CB" w14:textId="77DFD9CE" w:rsidR="00EC7243" w:rsidRDefault="00034373" w:rsidP="00492F7E">
      <w:pPr>
        <w:spacing w:before="0"/>
      </w:pPr>
      <w:r>
        <w:t xml:space="preserve">Notify the </w:t>
      </w:r>
      <w:r w:rsidR="7522A45F">
        <w:t>L</w:t>
      </w:r>
      <w:r w:rsidR="007606A3">
        <w:t xml:space="preserve">ine </w:t>
      </w:r>
      <w:r w:rsidR="14A4537C">
        <w:t>M</w:t>
      </w:r>
      <w:r w:rsidR="007606A3">
        <w:t>anage</w:t>
      </w:r>
      <w:r w:rsidR="3D80424F">
        <w:t xml:space="preserve">r </w:t>
      </w:r>
      <w:r>
        <w:t>of the incident immediately. If the incident occurs outside normal working hours, inform the On-Call Manager.</w:t>
      </w:r>
    </w:p>
    <w:p w14:paraId="37EE4013" w14:textId="77777777" w:rsidR="00492F7E" w:rsidRDefault="00492F7E" w:rsidP="00492F7E">
      <w:pPr>
        <w:spacing w:before="0"/>
        <w:rPr>
          <w:b/>
          <w:bCs/>
        </w:rPr>
      </w:pPr>
    </w:p>
    <w:p w14:paraId="2F910150" w14:textId="5AC7A412" w:rsidR="00034373" w:rsidRPr="00EC7243" w:rsidRDefault="00034373" w:rsidP="00492F7E">
      <w:pPr>
        <w:spacing w:before="0"/>
        <w:rPr>
          <w:b/>
          <w:bCs/>
        </w:rPr>
      </w:pPr>
      <w:r w:rsidRPr="00EC7243">
        <w:rPr>
          <w:b/>
          <w:bCs/>
        </w:rPr>
        <w:t>Seek Medical Attention</w:t>
      </w:r>
    </w:p>
    <w:p w14:paraId="1C754D2C" w14:textId="2B2900A7" w:rsidR="00EC7243" w:rsidRDefault="00034373" w:rsidP="00492F7E">
      <w:pPr>
        <w:spacing w:before="0"/>
      </w:pPr>
      <w:r>
        <w:t>Attend the Emergency Department (ED) at the hospital as soon as possible, ideally within one hour of exposure, for appropriate assessment and treatment.</w:t>
      </w:r>
    </w:p>
    <w:p w14:paraId="516B8DC9" w14:textId="77777777" w:rsidR="00492F7E" w:rsidRDefault="00492F7E" w:rsidP="00492F7E">
      <w:pPr>
        <w:spacing w:before="0"/>
        <w:rPr>
          <w:b/>
          <w:bCs/>
        </w:rPr>
      </w:pPr>
    </w:p>
    <w:p w14:paraId="2AE51BC6" w14:textId="4A1CE434" w:rsidR="00034373" w:rsidRPr="00EC7243" w:rsidRDefault="00034373" w:rsidP="00492F7E">
      <w:pPr>
        <w:spacing w:before="0"/>
        <w:rPr>
          <w:b/>
          <w:bCs/>
        </w:rPr>
      </w:pPr>
      <w:r w:rsidRPr="00EC7243">
        <w:rPr>
          <w:b/>
          <w:bCs/>
        </w:rPr>
        <w:t>Report the Incident</w:t>
      </w:r>
    </w:p>
    <w:p w14:paraId="6EEE79B0" w14:textId="3D3528E4" w:rsidR="00AA558A" w:rsidRDefault="00034373" w:rsidP="00492F7E">
      <w:pPr>
        <w:spacing w:before="0"/>
      </w:pPr>
      <w:r>
        <w:t>Complete an incident report via the Assure system as soon as possible after the injury has occurred.</w:t>
      </w:r>
    </w:p>
    <w:p w14:paraId="3B5CFA8D" w14:textId="77777777" w:rsidR="00E3669D" w:rsidRDefault="00E3669D" w:rsidP="00034373"/>
    <w:p w14:paraId="47B49690" w14:textId="77777777" w:rsidR="00E3669D" w:rsidRDefault="00E3669D" w:rsidP="00034373"/>
    <w:p w14:paraId="779672B2" w14:textId="77777777" w:rsidR="00E3669D" w:rsidRDefault="00E3669D" w:rsidP="00034373"/>
    <w:p w14:paraId="730ECC1E" w14:textId="1898D1DE" w:rsidR="00F7089A" w:rsidRPr="000C163A" w:rsidRDefault="00F7089A" w:rsidP="00BE1EF3">
      <w:pPr>
        <w:pStyle w:val="Heading1"/>
      </w:pPr>
      <w:bookmarkStart w:id="2" w:name="_Toc188951406"/>
      <w:r w:rsidRPr="000C163A">
        <w:t>SOP 2</w:t>
      </w:r>
      <w:r w:rsidR="00AA558A">
        <w:t xml:space="preserve"> Further Management and Blood Tests</w:t>
      </w:r>
      <w:bookmarkEnd w:id="2"/>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5F9A1F46" w14:textId="77777777" w:rsidTr="009C3F6D">
        <w:tc>
          <w:tcPr>
            <w:tcW w:w="9351" w:type="dxa"/>
            <w:tcBorders>
              <w:top w:val="single" w:sz="4" w:space="0" w:color="auto"/>
              <w:bottom w:val="single" w:sz="4" w:space="0" w:color="auto"/>
            </w:tcBorders>
            <w:shd w:val="clear" w:color="auto" w:fill="E6E6E6"/>
          </w:tcPr>
          <w:p w14:paraId="736E732B" w14:textId="77777777" w:rsidR="006979D0" w:rsidRPr="00BE1EF3" w:rsidRDefault="006979D0" w:rsidP="00BE1EF3">
            <w:pPr>
              <w:rPr>
                <w:b/>
                <w:i/>
              </w:rPr>
            </w:pPr>
            <w:r w:rsidRPr="00BE1EF3">
              <w:rPr>
                <w:b/>
                <w:i/>
              </w:rPr>
              <w:t>Purpose</w:t>
            </w:r>
          </w:p>
        </w:tc>
      </w:tr>
    </w:tbl>
    <w:p w14:paraId="70DF9E56" w14:textId="26ADC262" w:rsidR="006979D0" w:rsidRPr="00F7089A" w:rsidRDefault="00A62E9B" w:rsidP="00BE1EF3">
      <w:r w:rsidRPr="00A62E9B">
        <w:t>To provide guidance on the steps to take following the immediate management of an exposure injury.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453824FE" w14:textId="77777777" w:rsidTr="009C3F6D">
        <w:tc>
          <w:tcPr>
            <w:tcW w:w="9351" w:type="dxa"/>
            <w:shd w:val="clear" w:color="auto" w:fill="E6E6E6"/>
          </w:tcPr>
          <w:p w14:paraId="08CE1F6C" w14:textId="77777777" w:rsidR="006979D0" w:rsidRPr="00BE1EF3" w:rsidRDefault="006979D0" w:rsidP="00BE1EF3">
            <w:pPr>
              <w:rPr>
                <w:b/>
                <w:i/>
              </w:rPr>
            </w:pPr>
            <w:r w:rsidRPr="00BE1EF3">
              <w:rPr>
                <w:b/>
                <w:i/>
              </w:rPr>
              <w:t>Scope</w:t>
            </w:r>
          </w:p>
        </w:tc>
      </w:tr>
    </w:tbl>
    <w:p w14:paraId="44E871BC" w14:textId="3E16C1BC" w:rsidR="006979D0" w:rsidRPr="00F7089A" w:rsidRDefault="00BC3BFE" w:rsidP="00BE1EF3">
      <w:r w:rsidRPr="00BC3BFE">
        <w:t> </w:t>
      </w:r>
      <w:r w:rsidR="008518EA" w:rsidRPr="008518EA">
        <w:t>This SOP applies to all employees who sustain an exposure injury.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69459D98" w14:textId="77777777" w:rsidTr="009C3F6D">
        <w:tc>
          <w:tcPr>
            <w:tcW w:w="9351" w:type="dxa"/>
            <w:shd w:val="clear" w:color="auto" w:fill="E6E6E6"/>
          </w:tcPr>
          <w:p w14:paraId="353CF696" w14:textId="77777777" w:rsidR="006979D0" w:rsidRPr="00BE1EF3" w:rsidRDefault="006979D0" w:rsidP="00BE1EF3">
            <w:pPr>
              <w:rPr>
                <w:b/>
                <w:i/>
              </w:rPr>
            </w:pPr>
            <w:r w:rsidRPr="00BE1EF3">
              <w:rPr>
                <w:b/>
                <w:i/>
              </w:rPr>
              <w:t>Core Requirements</w:t>
            </w:r>
            <w:r w:rsidR="009B2BAA">
              <w:rPr>
                <w:rFonts w:cs="Arial"/>
                <w:b/>
                <w:i/>
                <w:szCs w:val="22"/>
              </w:rPr>
              <w:t>/Procedure</w:t>
            </w:r>
          </w:p>
        </w:tc>
      </w:tr>
    </w:tbl>
    <w:p w14:paraId="71B1CD51" w14:textId="77777777" w:rsidR="00376BDD" w:rsidRDefault="00376BDD" w:rsidP="00376BDD">
      <w:pPr>
        <w:rPr>
          <w:b/>
          <w:bCs/>
        </w:rPr>
      </w:pPr>
      <w:r w:rsidRPr="00376BDD">
        <w:rPr>
          <w:b/>
          <w:bCs/>
        </w:rPr>
        <w:t>Assessment at the Emergency Department (ED)</w:t>
      </w:r>
    </w:p>
    <w:p w14:paraId="5D8150A7" w14:textId="77777777" w:rsidR="00A03C48" w:rsidRPr="00A03C48" w:rsidRDefault="00A03C48" w:rsidP="00376BDD">
      <w:pPr>
        <w:pStyle w:val="ListParagraph"/>
        <w:numPr>
          <w:ilvl w:val="0"/>
          <w:numId w:val="9"/>
        </w:numPr>
        <w:rPr>
          <w:b/>
          <w:bCs/>
        </w:rPr>
      </w:pPr>
      <w:r w:rsidRPr="00A03C48">
        <w:t>A healthcare professional at the ED will assess the injury by asking the staff member questions about how and when the incident occurred, as well as identifying who used any equipment involved. This assessment will determine the level of infection risk.</w:t>
      </w:r>
    </w:p>
    <w:p w14:paraId="1CC94966" w14:textId="77777777" w:rsidR="00B224DB" w:rsidRPr="00B224DB" w:rsidRDefault="00376BDD" w:rsidP="00B224DB">
      <w:pPr>
        <w:pStyle w:val="ListParagraph"/>
        <w:numPr>
          <w:ilvl w:val="0"/>
          <w:numId w:val="9"/>
        </w:numPr>
        <w:rPr>
          <w:b/>
          <w:bCs/>
        </w:rPr>
      </w:pPr>
      <w:r>
        <w:t>A blood sample will typically be taken from the injured staff member to test for hepatitis B, hepatitis C, and HIV.</w:t>
      </w:r>
    </w:p>
    <w:p w14:paraId="77F70668" w14:textId="6DF9A203" w:rsidR="00523742" w:rsidRPr="00B224DB" w:rsidRDefault="00B224DB" w:rsidP="00B224DB">
      <w:pPr>
        <w:pStyle w:val="ListParagraph"/>
        <w:numPr>
          <w:ilvl w:val="0"/>
          <w:numId w:val="9"/>
        </w:numPr>
        <w:rPr>
          <w:b/>
          <w:bCs/>
        </w:rPr>
      </w:pPr>
      <w:r w:rsidRPr="00B224DB">
        <w:t>If required, the staff member may be recalled for subsequent blood tests. This follow-up process will be managed by the Health and Community Services (HCS) Infection Prevention and Control Team (IPAC).</w:t>
      </w:r>
    </w:p>
    <w:p w14:paraId="693D58ED" w14:textId="75487680" w:rsidR="00376BDD" w:rsidRPr="00523742" w:rsidRDefault="00376BDD" w:rsidP="00523742">
      <w:pPr>
        <w:rPr>
          <w:b/>
          <w:bCs/>
        </w:rPr>
      </w:pPr>
      <w:r w:rsidRPr="00523742">
        <w:rPr>
          <w:b/>
          <w:bCs/>
        </w:rPr>
        <w:t>Source Patient Blood Testing</w:t>
      </w:r>
    </w:p>
    <w:p w14:paraId="6D0CC563" w14:textId="2A3BE990" w:rsidR="00FA3635" w:rsidRPr="00FA3635" w:rsidRDefault="00FA3635" w:rsidP="00376BDD">
      <w:pPr>
        <w:pStyle w:val="ListParagraph"/>
        <w:numPr>
          <w:ilvl w:val="0"/>
          <w:numId w:val="10"/>
        </w:numPr>
      </w:pPr>
      <w:r w:rsidRPr="00FA3635">
        <w:t>Based on the verbal risk assessment undertaken at</w:t>
      </w:r>
      <w:r w:rsidR="00B72DFB">
        <w:t xml:space="preserve"> the ED</w:t>
      </w:r>
      <w:r w:rsidRPr="00FA3635">
        <w:t xml:space="preserve">, the relevant hospital staff will determine if a blood sample is required from the </w:t>
      </w:r>
      <w:r w:rsidR="00B72DFB">
        <w:t xml:space="preserve">source </w:t>
      </w:r>
      <w:r w:rsidRPr="00FA3635">
        <w:t>patient.</w:t>
      </w:r>
    </w:p>
    <w:p w14:paraId="1D8B6221" w14:textId="7E828305" w:rsidR="00376BDD" w:rsidRPr="006C468F" w:rsidRDefault="009858A2" w:rsidP="00376BDD">
      <w:pPr>
        <w:pStyle w:val="ListParagraph"/>
        <w:numPr>
          <w:ilvl w:val="0"/>
          <w:numId w:val="10"/>
        </w:numPr>
        <w:rPr>
          <w:b/>
          <w:bCs/>
        </w:rPr>
      </w:pPr>
      <w:r w:rsidRPr="009858A2">
        <w:t>The source patient must be approached to request a blood sample for testing, with their informed consent obtained in line with the</w:t>
      </w:r>
      <w:r w:rsidR="25826702">
        <w:t xml:space="preserve"> FNHC </w:t>
      </w:r>
      <w:hyperlink r:id="rId17" w:history="1">
        <w:r w:rsidR="25826702" w:rsidRPr="002E612B">
          <w:rPr>
            <w:rStyle w:val="Hyperlink"/>
          </w:rPr>
          <w:t>Consent to Treatment and Care Policy</w:t>
        </w:r>
      </w:hyperlink>
      <w:r w:rsidR="25826702">
        <w:t xml:space="preserve">. </w:t>
      </w:r>
    </w:p>
    <w:p w14:paraId="6C330808" w14:textId="389BF45B" w:rsidR="00184827" w:rsidRDefault="00184827" w:rsidP="00AF230F">
      <w:pPr>
        <w:pStyle w:val="ListParagraph"/>
        <w:numPr>
          <w:ilvl w:val="0"/>
          <w:numId w:val="10"/>
        </w:numPr>
      </w:pPr>
      <w:r w:rsidRPr="00184827">
        <w:t>If the source patient cannot be identified, refuses consent for testing, or lacks the capacity to consent to Post-Exposure Prophylaxis (PEP), a risk assessment must be conducted to determine the need for PEP. This assessment may be carried out by the HCS team, based on the available evidence.</w:t>
      </w:r>
    </w:p>
    <w:p w14:paraId="43F477C0" w14:textId="0AE76A8F" w:rsidR="00AF230F" w:rsidRDefault="00376BDD" w:rsidP="00AF230F">
      <w:pPr>
        <w:pStyle w:val="ListParagraph"/>
        <w:numPr>
          <w:ilvl w:val="0"/>
          <w:numId w:val="10"/>
        </w:numPr>
      </w:pPr>
      <w:r>
        <w:t>The</w:t>
      </w:r>
      <w:r w:rsidR="00901E63">
        <w:t xml:space="preserve"> source patient’s blood</w:t>
      </w:r>
      <w:r>
        <w:t xml:space="preserve"> sample can be taken either by a Family Nursing &amp; Home Care (FNHC) colleague or the source patient’s GP. </w:t>
      </w:r>
    </w:p>
    <w:p w14:paraId="79932EBC" w14:textId="45A2FE08" w:rsidR="00CD6839" w:rsidRPr="00AF230F" w:rsidRDefault="00AF230F" w:rsidP="00AF230F">
      <w:pPr>
        <w:pStyle w:val="ListParagraph"/>
        <w:numPr>
          <w:ilvl w:val="0"/>
          <w:numId w:val="10"/>
        </w:numPr>
      </w:pPr>
      <w:r w:rsidRPr="00AF230F">
        <w:t>Any costs incurred by the source patient, such as GP charges, will be covered by Family Nursing &amp; Home Care.</w:t>
      </w:r>
    </w:p>
    <w:p w14:paraId="5E065417" w14:textId="77777777" w:rsidR="00A15AC1" w:rsidRPr="00C963F2" w:rsidRDefault="00A15AC1" w:rsidP="00A15AC1">
      <w:pPr>
        <w:pStyle w:val="ListParagraph"/>
        <w:numPr>
          <w:ilvl w:val="0"/>
          <w:numId w:val="10"/>
        </w:numPr>
        <w:rPr>
          <w:b/>
          <w:bCs/>
        </w:rPr>
      </w:pPr>
      <w:r>
        <w:t>The staff member who sustained the injury must not take the blood sample from the source patient.</w:t>
      </w:r>
    </w:p>
    <w:p w14:paraId="26D25185" w14:textId="77777777" w:rsidR="00907F64" w:rsidRPr="00907F64" w:rsidRDefault="00CD6839" w:rsidP="00376BDD">
      <w:pPr>
        <w:pStyle w:val="ListParagraph"/>
        <w:numPr>
          <w:ilvl w:val="0"/>
          <w:numId w:val="10"/>
        </w:numPr>
        <w:rPr>
          <w:b/>
          <w:bCs/>
        </w:rPr>
      </w:pPr>
      <w:r>
        <w:t>The blood sample should be collected in a clotted sample tube and sent to virology for testing for hepatitis B, hepatitis C, and HIV.</w:t>
      </w:r>
    </w:p>
    <w:p w14:paraId="424B0BC6" w14:textId="6CD447C5" w:rsidR="00376BDD" w:rsidRPr="00907F64" w:rsidRDefault="00376BDD" w:rsidP="00907F64">
      <w:pPr>
        <w:rPr>
          <w:b/>
          <w:bCs/>
        </w:rPr>
      </w:pPr>
      <w:r w:rsidRPr="00907F64">
        <w:rPr>
          <w:b/>
          <w:bCs/>
        </w:rPr>
        <w:t>Documentation</w:t>
      </w:r>
    </w:p>
    <w:p w14:paraId="3DD10A57" w14:textId="7B649407" w:rsidR="00376BDD" w:rsidRDefault="00376BDD" w:rsidP="00376BDD">
      <w:r>
        <w:t>All actions taken must be recorded in the Assure incident report</w:t>
      </w:r>
      <w:r w:rsidR="0041037F">
        <w:t xml:space="preserve">ing </w:t>
      </w:r>
      <w:r w:rsidR="0003134F">
        <w:t>syst</w:t>
      </w:r>
      <w:r w:rsidR="00343D10">
        <w:t>em</w:t>
      </w:r>
      <w:r>
        <w:t xml:space="preserve"> by the injured staff member.</w:t>
      </w:r>
    </w:p>
    <w:p w14:paraId="3439A07C" w14:textId="77777777" w:rsidR="00BE3406" w:rsidRDefault="00BE3406" w:rsidP="00376BDD"/>
    <w:p w14:paraId="0D0D1A7A" w14:textId="77777777" w:rsidR="00BE3406" w:rsidRDefault="00BE3406" w:rsidP="00376BDD"/>
    <w:p w14:paraId="7616F309" w14:textId="77777777" w:rsidR="00BE3406" w:rsidRDefault="00BE3406" w:rsidP="00376BDD"/>
    <w:p w14:paraId="66512787" w14:textId="77777777" w:rsidR="00BE3406" w:rsidRDefault="00BE3406" w:rsidP="00376BDD"/>
    <w:p w14:paraId="128D6FE5" w14:textId="77777777" w:rsidR="00BE3406" w:rsidRDefault="00BE3406" w:rsidP="00376BDD"/>
    <w:p w14:paraId="01C9C7B9" w14:textId="77777777" w:rsidR="00BE3406" w:rsidRDefault="00BE3406" w:rsidP="00376BDD"/>
    <w:p w14:paraId="22ED851E" w14:textId="77777777" w:rsidR="00BE3406" w:rsidRDefault="00BE3406" w:rsidP="00376BDD"/>
    <w:p w14:paraId="2E10A583" w14:textId="77777777" w:rsidR="00BE3406" w:rsidRDefault="00BE3406" w:rsidP="00376BDD"/>
    <w:p w14:paraId="54865314" w14:textId="77777777" w:rsidR="00BE3406" w:rsidRDefault="00BE3406" w:rsidP="00376BDD"/>
    <w:p w14:paraId="4B83E8BF" w14:textId="77777777" w:rsidR="00BE3406" w:rsidRDefault="00BE3406" w:rsidP="00376BDD"/>
    <w:p w14:paraId="5A7CAED3" w14:textId="77777777" w:rsidR="00BE3406" w:rsidRDefault="00BE3406" w:rsidP="00376BDD"/>
    <w:p w14:paraId="2A0703E8" w14:textId="77777777" w:rsidR="00BE3406" w:rsidRDefault="00BE3406" w:rsidP="00376BDD"/>
    <w:p w14:paraId="4EE785E0" w14:textId="77777777" w:rsidR="00BE3406" w:rsidRDefault="00BE3406" w:rsidP="00376BDD"/>
    <w:p w14:paraId="2BA6CCD7" w14:textId="77777777" w:rsidR="00BE3406" w:rsidRDefault="00BE3406" w:rsidP="00376BDD"/>
    <w:p w14:paraId="73E0E4FF" w14:textId="77777777" w:rsidR="00BE3406" w:rsidRDefault="00BE3406" w:rsidP="00376BDD"/>
    <w:p w14:paraId="5D0E0B53" w14:textId="77777777" w:rsidR="00BE3406" w:rsidRDefault="00BE3406" w:rsidP="00376BDD"/>
    <w:p w14:paraId="53E6572A" w14:textId="77777777" w:rsidR="00BE3406" w:rsidRDefault="00BE3406" w:rsidP="00376BDD"/>
    <w:p w14:paraId="2395BF12" w14:textId="77777777" w:rsidR="00BE3406" w:rsidRDefault="00BE3406" w:rsidP="00376BDD"/>
    <w:p w14:paraId="634C2FFD" w14:textId="77777777" w:rsidR="00BE3406" w:rsidRDefault="00BE3406" w:rsidP="00376BDD"/>
    <w:p w14:paraId="256850CF" w14:textId="77777777" w:rsidR="00BE3406" w:rsidRDefault="00BE3406" w:rsidP="00376BDD"/>
    <w:p w14:paraId="1A899C19" w14:textId="77777777" w:rsidR="00BE3406" w:rsidRDefault="00BE3406" w:rsidP="00376BDD"/>
    <w:p w14:paraId="429B2928" w14:textId="77777777" w:rsidR="00BE3406" w:rsidRDefault="00BE3406" w:rsidP="00376BDD"/>
    <w:p w14:paraId="217C11CF" w14:textId="77777777" w:rsidR="00BE3406" w:rsidRDefault="00BE3406" w:rsidP="00376BDD"/>
    <w:p w14:paraId="558A5191" w14:textId="77777777" w:rsidR="00BE3406" w:rsidRDefault="00BE3406" w:rsidP="00376BDD"/>
    <w:p w14:paraId="0E3E4A74" w14:textId="77777777" w:rsidR="00B62933" w:rsidRDefault="00B62933" w:rsidP="00376BDD"/>
    <w:p w14:paraId="21A555E6" w14:textId="77777777" w:rsidR="00BE3406" w:rsidRDefault="00BE3406" w:rsidP="00376BDD"/>
    <w:p w14:paraId="3D7FF871" w14:textId="31D3D5B4" w:rsidR="00F7089A" w:rsidRPr="000C163A" w:rsidRDefault="00F7089A" w:rsidP="00BE1EF3">
      <w:pPr>
        <w:pStyle w:val="Heading1"/>
      </w:pPr>
      <w:bookmarkStart w:id="3" w:name="_Toc188951407"/>
      <w:r w:rsidRPr="00BE1EF3">
        <w:t>SOP</w:t>
      </w:r>
      <w:r w:rsidRPr="000C163A">
        <w:t xml:space="preserve"> 3</w:t>
      </w:r>
      <w:r w:rsidR="00CC7FB5">
        <w:t xml:space="preserve"> Follow up Care</w:t>
      </w:r>
      <w:bookmarkEnd w:id="3"/>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12AFF7E1" w14:textId="77777777" w:rsidTr="00FB520F">
        <w:tc>
          <w:tcPr>
            <w:tcW w:w="9351" w:type="dxa"/>
            <w:tcBorders>
              <w:top w:val="single" w:sz="4" w:space="0" w:color="auto"/>
              <w:bottom w:val="single" w:sz="4" w:space="0" w:color="auto"/>
            </w:tcBorders>
            <w:shd w:val="clear" w:color="auto" w:fill="E6E6E6"/>
          </w:tcPr>
          <w:p w14:paraId="694F4B38" w14:textId="77777777" w:rsidR="006979D0" w:rsidRPr="00C676A7" w:rsidRDefault="006979D0" w:rsidP="00ED16EC">
            <w:pPr>
              <w:rPr>
                <w:rFonts w:cs="Arial"/>
                <w:b/>
                <w:i/>
              </w:rPr>
            </w:pPr>
            <w:r w:rsidRPr="00C676A7">
              <w:rPr>
                <w:rFonts w:cs="Arial"/>
                <w:b/>
                <w:i/>
              </w:rPr>
              <w:t>Purpose</w:t>
            </w:r>
          </w:p>
        </w:tc>
      </w:tr>
    </w:tbl>
    <w:p w14:paraId="463F29E8" w14:textId="5C3C5BFB" w:rsidR="006979D0" w:rsidRPr="00F7089A" w:rsidRDefault="002E2078" w:rsidP="00BE1EF3">
      <w:r w:rsidRPr="002E2078">
        <w:t>To outline the follow-up care considerations post exposure injury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1D80CB15" w14:textId="77777777" w:rsidTr="00FB520F">
        <w:tc>
          <w:tcPr>
            <w:tcW w:w="9351" w:type="dxa"/>
            <w:shd w:val="clear" w:color="auto" w:fill="E6E6E6"/>
          </w:tcPr>
          <w:p w14:paraId="0B111768" w14:textId="77777777" w:rsidR="006979D0" w:rsidRPr="00C676A7" w:rsidRDefault="006979D0" w:rsidP="00ED16EC">
            <w:pPr>
              <w:rPr>
                <w:rFonts w:cs="Arial"/>
                <w:b/>
                <w:i/>
              </w:rPr>
            </w:pPr>
            <w:r w:rsidRPr="00C676A7">
              <w:rPr>
                <w:rFonts w:cs="Arial"/>
                <w:b/>
                <w:i/>
              </w:rPr>
              <w:t>Scope</w:t>
            </w:r>
          </w:p>
        </w:tc>
      </w:tr>
    </w:tbl>
    <w:p w14:paraId="3B7B4B86" w14:textId="74A20D27" w:rsidR="006979D0" w:rsidRPr="00F7089A" w:rsidRDefault="002E2078" w:rsidP="00BE1EF3">
      <w:r w:rsidRPr="002E2078">
        <w:t>This SOP applies to any employee who sustains an exposure injury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75B6F712" w14:textId="77777777" w:rsidTr="00FB520F">
        <w:tc>
          <w:tcPr>
            <w:tcW w:w="9351" w:type="dxa"/>
            <w:shd w:val="clear" w:color="auto" w:fill="E6E6E6"/>
          </w:tcPr>
          <w:p w14:paraId="4BF89579" w14:textId="77777777" w:rsidR="006979D0" w:rsidRPr="00C676A7" w:rsidRDefault="006979D0" w:rsidP="00ED16EC">
            <w:pPr>
              <w:rPr>
                <w:rFonts w:cs="Arial"/>
                <w:b/>
                <w:i/>
              </w:rPr>
            </w:pPr>
            <w:r w:rsidRPr="00C676A7">
              <w:rPr>
                <w:rFonts w:cs="Arial"/>
                <w:b/>
                <w:i/>
              </w:rPr>
              <w:t>Core Requirements</w:t>
            </w:r>
            <w:r w:rsidR="009B2BAA">
              <w:rPr>
                <w:rFonts w:cs="Arial"/>
                <w:b/>
                <w:i/>
                <w:szCs w:val="22"/>
              </w:rPr>
              <w:t>/Procedure</w:t>
            </w:r>
          </w:p>
        </w:tc>
      </w:tr>
    </w:tbl>
    <w:p w14:paraId="23FDBA7A" w14:textId="77777777" w:rsidR="00331640" w:rsidRPr="00331640" w:rsidRDefault="00331640" w:rsidP="00331640">
      <w:pPr>
        <w:rPr>
          <w:b/>
          <w:bCs/>
        </w:rPr>
      </w:pPr>
      <w:r w:rsidRPr="00331640">
        <w:rPr>
          <w:b/>
          <w:bCs/>
        </w:rPr>
        <w:t>Advice on Further Testing</w:t>
      </w:r>
    </w:p>
    <w:p w14:paraId="6AA4AC5B" w14:textId="77777777" w:rsidR="00331640" w:rsidRDefault="00331640" w:rsidP="00331640">
      <w:r>
        <w:t>The Health &amp; Community Services Infection Prevention and Control Team will advise the injured staff member if further blood testing is required, and the appropriate timing for these tests.</w:t>
      </w:r>
    </w:p>
    <w:p w14:paraId="5916F7B8" w14:textId="77777777" w:rsidR="00331640" w:rsidRDefault="00331640" w:rsidP="00331640"/>
    <w:p w14:paraId="4A750629" w14:textId="0238D383" w:rsidR="00331640" w:rsidRPr="00331640" w:rsidRDefault="00331640" w:rsidP="00331640">
      <w:pPr>
        <w:rPr>
          <w:b/>
          <w:bCs/>
        </w:rPr>
      </w:pPr>
      <w:r w:rsidRPr="00331640">
        <w:rPr>
          <w:b/>
          <w:bCs/>
        </w:rPr>
        <w:t>Counselling and Emotional Support</w:t>
      </w:r>
    </w:p>
    <w:p w14:paraId="17B6FE1C" w14:textId="77777777" w:rsidR="00331640" w:rsidRDefault="00331640" w:rsidP="00331640">
      <w:r>
        <w:t>The emotional well-being of staff members who sustain sharps injuries or are exposed to blood or bodily fluids should be prioritised. Consideration should be given to whether counselling is needed to support the individual.</w:t>
      </w:r>
    </w:p>
    <w:p w14:paraId="312283A6" w14:textId="04369BB5" w:rsidR="00343554" w:rsidRDefault="0038206F" w:rsidP="00343554">
      <w:r>
        <w:t xml:space="preserve">FNHC </w:t>
      </w:r>
      <w:r w:rsidR="009C68E1">
        <w:t xml:space="preserve">colleagues can avail </w:t>
      </w:r>
      <w:r w:rsidR="00A13B77">
        <w:t>of</w:t>
      </w:r>
      <w:r w:rsidR="00DB7818">
        <w:t xml:space="preserve"> the</w:t>
      </w:r>
      <w:r w:rsidR="009C68E1">
        <w:t xml:space="preserve"> </w:t>
      </w:r>
      <w:r w:rsidR="00962224" w:rsidRPr="00962224">
        <w:t>Sustaining Resilience at Work Peer Support Programme (StRaW)</w:t>
      </w:r>
      <w:r w:rsidR="00A937C6">
        <w:t>.  Details on how to refer to the programm</w:t>
      </w:r>
      <w:r w:rsidR="00F23A84">
        <w:t xml:space="preserve">e are available in the FNHC </w:t>
      </w:r>
      <w:hyperlink r:id="rId18" w:history="1">
        <w:r w:rsidR="00343554" w:rsidRPr="00A5127A">
          <w:rPr>
            <w:rStyle w:val="Hyperlink"/>
          </w:rPr>
          <w:t>Standard Operating Procedures for Sustaining Resilience at Work Peer Support Programme</w:t>
        </w:r>
      </w:hyperlink>
      <w:r w:rsidR="00A5127A">
        <w:t>.</w:t>
      </w:r>
    </w:p>
    <w:p w14:paraId="317977BB" w14:textId="1421356C" w:rsidR="00EB6CF9" w:rsidRDefault="00343554" w:rsidP="00343554">
      <w:r>
        <w:t>(StRaW)</w:t>
      </w:r>
    </w:p>
    <w:p w14:paraId="5630AD66" w14:textId="523C663C" w:rsidR="00F7089A" w:rsidRDefault="00331640" w:rsidP="00331640">
      <w:r>
        <w:t xml:space="preserve">The Infection </w:t>
      </w:r>
      <w:r w:rsidR="00CC2B4D">
        <w:t>Prevention</w:t>
      </w:r>
      <w:r w:rsidR="00D05F85">
        <w:t xml:space="preserve"> and </w:t>
      </w:r>
      <w:r>
        <w:t xml:space="preserve">Control Team at </w:t>
      </w:r>
      <w:r w:rsidR="00D05F85">
        <w:t xml:space="preserve">Health and </w:t>
      </w:r>
      <w:r w:rsidR="11B2BBD0">
        <w:t>Care Jersey</w:t>
      </w:r>
      <w:r>
        <w:t xml:space="preserve"> can </w:t>
      </w:r>
      <w:r w:rsidR="00245484">
        <w:t xml:space="preserve">also </w:t>
      </w:r>
      <w:r>
        <w:t>provide guidance or arrange counselling services if required.</w:t>
      </w:r>
    </w:p>
    <w:p w14:paraId="2DBF0D7D" w14:textId="77777777" w:rsidR="00036244" w:rsidRDefault="00036244" w:rsidP="00BE1EF3">
      <w:pPr>
        <w:sectPr w:rsidR="00036244" w:rsidSect="00036244">
          <w:pgSz w:w="12240" w:h="15840"/>
          <w:pgMar w:top="1440" w:right="1440" w:bottom="1440" w:left="1440" w:header="709" w:footer="709" w:gutter="0"/>
          <w:cols w:space="708"/>
          <w:docGrid w:linePitch="360"/>
        </w:sectPr>
      </w:pPr>
    </w:p>
    <w:p w14:paraId="071E4E01" w14:textId="77777777" w:rsidR="00295F59" w:rsidRDefault="00BE1EF3" w:rsidP="00BE1EF3">
      <w:pPr>
        <w:pStyle w:val="Heading1"/>
      </w:pPr>
      <w:bookmarkStart w:id="4" w:name="_Toc188951408"/>
      <w:r>
        <w:t>References</w:t>
      </w:r>
      <w:bookmarkEnd w:id="4"/>
    </w:p>
    <w:tbl>
      <w:tblPr>
        <w:tblStyle w:val="TableGrid"/>
        <w:tblW w:w="0" w:type="auto"/>
        <w:tblLook w:val="04A0" w:firstRow="1" w:lastRow="0" w:firstColumn="1" w:lastColumn="0" w:noHBand="0" w:noVBand="1"/>
      </w:tblPr>
      <w:tblGrid>
        <w:gridCol w:w="9360"/>
      </w:tblGrid>
      <w:tr w:rsidR="00885CCA" w14:paraId="36BB64FA" w14:textId="77777777" w:rsidTr="002541AB">
        <w:trPr>
          <w:trHeight w:val="11484"/>
        </w:trPr>
        <w:tc>
          <w:tcPr>
            <w:tcW w:w="9360" w:type="dxa"/>
            <w:tcBorders>
              <w:top w:val="nil"/>
              <w:left w:val="nil"/>
              <w:bottom w:val="nil"/>
              <w:right w:val="nil"/>
            </w:tcBorders>
          </w:tcPr>
          <w:p w14:paraId="655726D0" w14:textId="77777777" w:rsidR="002541AB" w:rsidRDefault="00885CCA" w:rsidP="00006926">
            <w:pPr>
              <w:jc w:val="left"/>
            </w:pPr>
            <w:r>
              <w:t xml:space="preserve">Hakala, S. (2024) Prevention and Management of Sharps Injuries.  Clinical Skills Limited.  Available (with FNHC login) via </w:t>
            </w:r>
            <w:hyperlink r:id="rId19" w:history="1">
              <w:r w:rsidRPr="001162D5">
                <w:rPr>
                  <w:rStyle w:val="Hyperlink"/>
                </w:rPr>
                <w:t>https://fnhc.app.clinicalskills.net/organisation_user/organisations/226/content_view/sections/1/categories/1/procedures/506</w:t>
              </w:r>
            </w:hyperlink>
            <w:r>
              <w:t xml:space="preserve">   Last accessed 13/01/2025</w:t>
            </w:r>
          </w:p>
          <w:p w14:paraId="60E030B0" w14:textId="77777777" w:rsidR="002541AB" w:rsidRDefault="002541AB" w:rsidP="00006926">
            <w:pPr>
              <w:jc w:val="left"/>
            </w:pPr>
            <w:r>
              <w:t xml:space="preserve">Health and Safety Executive (2013) Health and Safety (Sharps Instruments in Healthcare) Regulations 2013.  Guidance for Employers and Employees.  Available via: </w:t>
            </w:r>
            <w:hyperlink r:id="rId20" w:history="1">
              <w:r>
                <w:rPr>
                  <w:rStyle w:val="Hyperlink"/>
                </w:rPr>
                <w:t>http://dickyricky.com/Medicine/Papers/2015_08_01%20BMJ%20Management%20of%20sharps%20injuries.pdf</w:t>
              </w:r>
            </w:hyperlink>
            <w:r>
              <w:t xml:space="preserve"> Last accessed 13/01/2025</w:t>
            </w:r>
          </w:p>
          <w:p w14:paraId="714ECDE7" w14:textId="77777777" w:rsidR="002541AB" w:rsidRDefault="002541AB" w:rsidP="00006926">
            <w:pPr>
              <w:jc w:val="left"/>
            </w:pPr>
            <w:r>
              <w:t xml:space="preserve">Health and Safety Executive (HSE). (2022) How to deal with an exposure incident. London, UK: HSE. Available via: </w:t>
            </w:r>
            <w:hyperlink r:id="rId21" w:history="1">
              <w:r w:rsidRPr="001162D5">
                <w:rPr>
                  <w:rStyle w:val="Hyperlink"/>
                </w:rPr>
                <w:t>https://www.hse.gov.uk/biosafety/blood-borne-viruses/how-deal-exposure-incident.htm</w:t>
              </w:r>
            </w:hyperlink>
            <w:r>
              <w:t xml:space="preserve"> </w:t>
            </w:r>
            <w:r w:rsidRPr="002A6BFC">
              <w:t xml:space="preserve">    Last accessed 13/01/2025</w:t>
            </w:r>
          </w:p>
          <w:p w14:paraId="3B4BDA50" w14:textId="77777777" w:rsidR="002541AB" w:rsidRDefault="002541AB" w:rsidP="00006926">
            <w:pPr>
              <w:jc w:val="left"/>
            </w:pPr>
            <w:r>
              <w:t xml:space="preserve">Public Health England (2019) Guidance on management of potential exposure to blood-borne viruses in emergency workers – For occupational health services providers and frontline staff.  Available via </w:t>
            </w:r>
            <w:hyperlink r:id="rId22" w:history="1">
              <w:r w:rsidRPr="001162D5">
                <w:rPr>
                  <w:rStyle w:val="Hyperlink"/>
                </w:rPr>
                <w:t>https://assets.publishing.service.gov.uk/government/uploads/system/uploads/attachment_data/file/835888/Guidance_on_management_of_potential_exposure_to_blood__2_.pdf</w:t>
              </w:r>
            </w:hyperlink>
            <w:r>
              <w:t xml:space="preserve">    Last accessed 13/01/2025</w:t>
            </w:r>
          </w:p>
          <w:p w14:paraId="17E54E68" w14:textId="77777777" w:rsidR="002541AB" w:rsidRDefault="002541AB" w:rsidP="00006926">
            <w:pPr>
              <w:jc w:val="left"/>
            </w:pPr>
            <w:r w:rsidRPr="00773ADD">
              <w:t xml:space="preserve">Riddell A, Kennedy I, Tong C Y W. </w:t>
            </w:r>
            <w:r>
              <w:t xml:space="preserve">(2015) </w:t>
            </w:r>
            <w:r w:rsidRPr="00773ADD">
              <w:t>Management of sharps injuries in the healthcare setting BMJ 2015; 351 :h3733 doi:10.1136/bmj.h3733</w:t>
            </w:r>
            <w:r>
              <w:t xml:space="preserve">  Available via: </w:t>
            </w:r>
            <w:hyperlink r:id="rId23" w:history="1">
              <w:r w:rsidRPr="001162D5">
                <w:rPr>
                  <w:rStyle w:val="Hyperlink"/>
                </w:rPr>
                <w:t>https://www.bmj.com/content/351/bmj.h3733 Last accessed 13/01/2025</w:t>
              </w:r>
            </w:hyperlink>
          </w:p>
          <w:p w14:paraId="53C2025E" w14:textId="77777777" w:rsidR="002541AB" w:rsidRDefault="002541AB" w:rsidP="00006926">
            <w:pPr>
              <w:jc w:val="left"/>
            </w:pPr>
            <w:r>
              <w:t xml:space="preserve">Royal College of Nursing (2023) Sharps Safety: RCN Guidance for the Prevention and Management of sharps injuries in health and social care settings.  Available via: </w:t>
            </w:r>
            <w:hyperlink r:id="rId24" w:history="1">
              <w:r w:rsidRPr="001162D5">
                <w:rPr>
                  <w:rStyle w:val="Hyperlink"/>
                </w:rPr>
                <w:t>https://www.rcn.org.uk/Professional-Development/publications/rcn-sharps-safety-uk-pub-010-596</w:t>
              </w:r>
            </w:hyperlink>
            <w:r>
              <w:t xml:space="preserve"> </w:t>
            </w:r>
            <w:r w:rsidRPr="00EC3B6C">
              <w:t xml:space="preserve">  Last accessed 13/01/2025</w:t>
            </w:r>
            <w:r>
              <w:t>.</w:t>
            </w:r>
          </w:p>
          <w:p w14:paraId="0EC406BC" w14:textId="77777777" w:rsidR="002541AB" w:rsidRDefault="002541AB" w:rsidP="00006926">
            <w:pPr>
              <w:jc w:val="left"/>
            </w:pPr>
            <w:r>
              <w:t xml:space="preserve">UK Health Security Agency (2021) Eye of the Needle: United Kingdom Surveillance of Significant Occupational Exposures to Bloodborne Viruses in Healthcare Workers.  Available via: </w:t>
            </w:r>
            <w:hyperlink r:id="rId25" w:history="1">
              <w:r w:rsidRPr="001162D5">
                <w:rPr>
                  <w:rStyle w:val="Hyperlink"/>
                </w:rPr>
                <w:t>https://www.gov.uk/government/publications/bloodborne-viruses-eye-of-the-needle</w:t>
              </w:r>
            </w:hyperlink>
            <w:r>
              <w:t xml:space="preserve">   Last accessed 13/01/2025</w:t>
            </w:r>
          </w:p>
          <w:p w14:paraId="4950AAF5" w14:textId="18F1C94B" w:rsidR="00885CCA" w:rsidRDefault="002541AB" w:rsidP="00006926">
            <w:pPr>
              <w:jc w:val="left"/>
            </w:pPr>
            <w:r>
              <w:t xml:space="preserve">World Health Organization (2020) WHO-ILO Global Framework for National Occupational Health Programmes for Health Workers.  Available via: </w:t>
            </w:r>
            <w:hyperlink r:id="rId26" w:history="1">
              <w:r w:rsidRPr="001162D5">
                <w:rPr>
                  <w:rStyle w:val="Hyperlink"/>
                </w:rPr>
                <w:t>https://www.who.int/news/item/10-06-2020-who-ilo-global-framework-for-national-occupational-health-programmes-for-health-workers</w:t>
              </w:r>
            </w:hyperlink>
            <w:r>
              <w:t xml:space="preserve"> Last accessed 13/01/2025</w:t>
            </w:r>
          </w:p>
        </w:tc>
      </w:tr>
    </w:tbl>
    <w:p w14:paraId="4F98BF04" w14:textId="77777777" w:rsidR="00885CCA" w:rsidRDefault="00885CCA">
      <w:pPr>
        <w:jc w:val="left"/>
      </w:pPr>
    </w:p>
    <w:sectPr w:rsidR="00885CCA" w:rsidSect="0003624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9AE0B" w14:textId="77777777" w:rsidR="00DB406D" w:rsidRDefault="00DB406D">
      <w:r>
        <w:separator/>
      </w:r>
    </w:p>
  </w:endnote>
  <w:endnote w:type="continuationSeparator" w:id="0">
    <w:p w14:paraId="28F320DE" w14:textId="77777777" w:rsidR="00DB406D" w:rsidRDefault="00DB406D">
      <w:r>
        <w:continuationSeparator/>
      </w:r>
    </w:p>
  </w:endnote>
  <w:endnote w:type="continuationNotice" w:id="1">
    <w:p w14:paraId="559CB854" w14:textId="77777777" w:rsidR="00DB406D" w:rsidRDefault="00DB406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FCA0" w14:textId="77777777" w:rsidR="00261BBC" w:rsidRDefault="00261BBC" w:rsidP="00D44850">
    <w:pPr>
      <w:pStyle w:val="Footer"/>
      <w:jc w:val="center"/>
      <w:rPr>
        <w:rFonts w:cs="Arial"/>
        <w:b/>
        <w:bCs/>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p>
  <w:p w14:paraId="511A3633" w14:textId="77777777" w:rsidR="00FA7097" w:rsidRPr="00FA7097" w:rsidRDefault="00FA7097" w:rsidP="00FA7097">
    <w:pPr>
      <w:pStyle w:val="Footer"/>
      <w:jc w:val="right"/>
      <w:rPr>
        <w:rFonts w:cs="Arial"/>
        <w:sz w:val="16"/>
        <w:szCs w:val="16"/>
      </w:rPr>
    </w:pPr>
    <w:r w:rsidRPr="00FA7097">
      <w:rPr>
        <w:rFonts w:cs="Arial"/>
        <w:bCs/>
        <w:sz w:val="16"/>
        <w:szCs w:val="16"/>
      </w:rPr>
      <w:t xml:space="preserve">template version </w:t>
    </w:r>
    <w:r w:rsidR="00121ECB">
      <w:rPr>
        <w:rFonts w:cs="Arial"/>
        <w:bCs/>
        <w:sz w:val="16"/>
        <w:szCs w:val="16"/>
      </w:rPr>
      <w:t>3 (2024</w:t>
    </w:r>
    <w:r w:rsidR="00036244">
      <w:rPr>
        <w:rFonts w:cs="Arial"/>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B5B0" w14:textId="77777777" w:rsidR="00B239DD" w:rsidRPr="0093169B" w:rsidRDefault="00B239DD" w:rsidP="0093169B">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99A1A" w14:textId="77777777" w:rsidR="00DB406D" w:rsidRDefault="00DB406D">
      <w:r>
        <w:separator/>
      </w:r>
    </w:p>
  </w:footnote>
  <w:footnote w:type="continuationSeparator" w:id="0">
    <w:p w14:paraId="14D7D007" w14:textId="77777777" w:rsidR="00DB406D" w:rsidRDefault="00DB406D">
      <w:r>
        <w:continuationSeparator/>
      </w:r>
    </w:p>
  </w:footnote>
  <w:footnote w:type="continuationNotice" w:id="1">
    <w:p w14:paraId="5C213AE4" w14:textId="77777777" w:rsidR="00DB406D" w:rsidRDefault="00DB406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BE67" w14:textId="77777777" w:rsidR="001411FD" w:rsidRDefault="00141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B105" w14:textId="77777777" w:rsidR="00B239DD" w:rsidRPr="00B239DD" w:rsidRDefault="003E5803" w:rsidP="00152714">
    <w:pPr>
      <w:pStyle w:val="Header"/>
      <w:rPr>
        <w:rFonts w:cs="Arial"/>
        <w:sz w:val="20"/>
        <w:szCs w:val="20"/>
      </w:rPr>
    </w:pPr>
    <w:r>
      <w:rPr>
        <w:rFonts w:cs="Arial"/>
        <w:noProof/>
        <w:sz w:val="20"/>
        <w:szCs w:val="20"/>
      </w:rPr>
      <w:drawing>
        <wp:anchor distT="0" distB="0" distL="114300" distR="114300" simplePos="0" relativeHeight="251658240" behindDoc="1" locked="0" layoutInCell="1" allowOverlap="1" wp14:anchorId="4A3B0A2C" wp14:editId="07777777">
          <wp:simplePos x="0" y="0"/>
          <wp:positionH relativeFrom="column">
            <wp:posOffset>4966335</wp:posOffset>
          </wp:positionH>
          <wp:positionV relativeFrom="paragraph">
            <wp:posOffset>-120015</wp:posOffset>
          </wp:positionV>
          <wp:extent cx="1208405" cy="528320"/>
          <wp:effectExtent l="0" t="0" r="0" b="0"/>
          <wp:wrapTight wrapText="bothSides">
            <wp:wrapPolygon edited="0">
              <wp:start x="0" y="0"/>
              <wp:lineTo x="0" y="21029"/>
              <wp:lineTo x="21112" y="21029"/>
              <wp:lineTo x="21112" y="0"/>
              <wp:lineTo x="0" y="0"/>
            </wp:wrapPolygon>
          </wp:wrapTight>
          <wp:docPr id="1" name="Picture 1"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9836" w14:textId="77777777" w:rsidR="001411FD" w:rsidRDefault="00141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BAD"/>
    <w:multiLevelType w:val="hybridMultilevel"/>
    <w:tmpl w:val="91084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CB3FF3"/>
    <w:multiLevelType w:val="hybridMultilevel"/>
    <w:tmpl w:val="01989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143A26"/>
    <w:multiLevelType w:val="hybridMultilevel"/>
    <w:tmpl w:val="2A0A3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631085"/>
    <w:multiLevelType w:val="hybridMultilevel"/>
    <w:tmpl w:val="DF205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C8522D"/>
    <w:multiLevelType w:val="hybridMultilevel"/>
    <w:tmpl w:val="BB343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AB5EF4"/>
    <w:multiLevelType w:val="hybridMultilevel"/>
    <w:tmpl w:val="FCD63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4F7A36"/>
    <w:multiLevelType w:val="hybridMultilevel"/>
    <w:tmpl w:val="6C627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0B15C7"/>
    <w:multiLevelType w:val="hybridMultilevel"/>
    <w:tmpl w:val="3A2626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B01B88"/>
    <w:multiLevelType w:val="hybridMultilevel"/>
    <w:tmpl w:val="B190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0274B0"/>
    <w:multiLevelType w:val="hybridMultilevel"/>
    <w:tmpl w:val="B0402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996F4B"/>
    <w:multiLevelType w:val="hybridMultilevel"/>
    <w:tmpl w:val="B9940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862726">
    <w:abstractNumId w:val="7"/>
  </w:num>
  <w:num w:numId="2" w16cid:durableId="426387922">
    <w:abstractNumId w:val="2"/>
  </w:num>
  <w:num w:numId="3" w16cid:durableId="1475754875">
    <w:abstractNumId w:val="1"/>
  </w:num>
  <w:num w:numId="4" w16cid:durableId="1611736832">
    <w:abstractNumId w:val="9"/>
  </w:num>
  <w:num w:numId="5" w16cid:durableId="91096363">
    <w:abstractNumId w:val="10"/>
  </w:num>
  <w:num w:numId="6" w16cid:durableId="1720736852">
    <w:abstractNumId w:val="6"/>
  </w:num>
  <w:num w:numId="7" w16cid:durableId="1846432370">
    <w:abstractNumId w:val="4"/>
  </w:num>
  <w:num w:numId="8" w16cid:durableId="672532518">
    <w:abstractNumId w:val="8"/>
  </w:num>
  <w:num w:numId="9" w16cid:durableId="1710909040">
    <w:abstractNumId w:val="3"/>
  </w:num>
  <w:num w:numId="10" w16cid:durableId="1650327901">
    <w:abstractNumId w:val="0"/>
  </w:num>
  <w:num w:numId="11" w16cid:durableId="1704941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EE"/>
    <w:rsid w:val="00002ABD"/>
    <w:rsid w:val="00004C78"/>
    <w:rsid w:val="00006926"/>
    <w:rsid w:val="00021A60"/>
    <w:rsid w:val="0003134F"/>
    <w:rsid w:val="00034373"/>
    <w:rsid w:val="00036244"/>
    <w:rsid w:val="00077E76"/>
    <w:rsid w:val="00093DCF"/>
    <w:rsid w:val="000B1C8E"/>
    <w:rsid w:val="000B333D"/>
    <w:rsid w:val="000C163A"/>
    <w:rsid w:val="000C3B07"/>
    <w:rsid w:val="000C55B9"/>
    <w:rsid w:val="000D03A1"/>
    <w:rsid w:val="00101261"/>
    <w:rsid w:val="00102435"/>
    <w:rsid w:val="0011017C"/>
    <w:rsid w:val="00113EEC"/>
    <w:rsid w:val="00116AE9"/>
    <w:rsid w:val="00121ECB"/>
    <w:rsid w:val="001222B9"/>
    <w:rsid w:val="001410B2"/>
    <w:rsid w:val="001411FD"/>
    <w:rsid w:val="00151228"/>
    <w:rsid w:val="00152714"/>
    <w:rsid w:val="00184827"/>
    <w:rsid w:val="00192519"/>
    <w:rsid w:val="001976A9"/>
    <w:rsid w:val="001A42BD"/>
    <w:rsid w:val="001C55E1"/>
    <w:rsid w:val="001D4AF4"/>
    <w:rsid w:val="001D68FE"/>
    <w:rsid w:val="001F516D"/>
    <w:rsid w:val="001F6D8B"/>
    <w:rsid w:val="00205B30"/>
    <w:rsid w:val="00217B6B"/>
    <w:rsid w:val="00224D60"/>
    <w:rsid w:val="00245484"/>
    <w:rsid w:val="002541AB"/>
    <w:rsid w:val="00254DD2"/>
    <w:rsid w:val="00261BBC"/>
    <w:rsid w:val="00274105"/>
    <w:rsid w:val="00282531"/>
    <w:rsid w:val="00295F59"/>
    <w:rsid w:val="002A6BFC"/>
    <w:rsid w:val="002B6234"/>
    <w:rsid w:val="002C7B0E"/>
    <w:rsid w:val="002E02B4"/>
    <w:rsid w:val="002E2078"/>
    <w:rsid w:val="002E612B"/>
    <w:rsid w:val="002F1525"/>
    <w:rsid w:val="002F3E25"/>
    <w:rsid w:val="002F544B"/>
    <w:rsid w:val="003021B8"/>
    <w:rsid w:val="003051AB"/>
    <w:rsid w:val="00314BD6"/>
    <w:rsid w:val="00317D53"/>
    <w:rsid w:val="0032159B"/>
    <w:rsid w:val="00331640"/>
    <w:rsid w:val="003418B7"/>
    <w:rsid w:val="00343554"/>
    <w:rsid w:val="00343D10"/>
    <w:rsid w:val="00351A62"/>
    <w:rsid w:val="003531F5"/>
    <w:rsid w:val="003648B8"/>
    <w:rsid w:val="00371C71"/>
    <w:rsid w:val="00376BDD"/>
    <w:rsid w:val="0038206F"/>
    <w:rsid w:val="00390CA9"/>
    <w:rsid w:val="00394186"/>
    <w:rsid w:val="003C66B4"/>
    <w:rsid w:val="003C7B34"/>
    <w:rsid w:val="003D2349"/>
    <w:rsid w:val="003D30BE"/>
    <w:rsid w:val="003D67F5"/>
    <w:rsid w:val="003E12B5"/>
    <w:rsid w:val="003E3B6F"/>
    <w:rsid w:val="003E4748"/>
    <w:rsid w:val="003E5803"/>
    <w:rsid w:val="003E6B7A"/>
    <w:rsid w:val="003F3FC0"/>
    <w:rsid w:val="00407A98"/>
    <w:rsid w:val="0041037F"/>
    <w:rsid w:val="004137F6"/>
    <w:rsid w:val="00431FF6"/>
    <w:rsid w:val="00447002"/>
    <w:rsid w:val="00452BDD"/>
    <w:rsid w:val="0045385C"/>
    <w:rsid w:val="0045546A"/>
    <w:rsid w:val="004579C7"/>
    <w:rsid w:val="004622A8"/>
    <w:rsid w:val="0046274B"/>
    <w:rsid w:val="00464037"/>
    <w:rsid w:val="004663A1"/>
    <w:rsid w:val="004663E6"/>
    <w:rsid w:val="004748C4"/>
    <w:rsid w:val="00492F7E"/>
    <w:rsid w:val="004A060F"/>
    <w:rsid w:val="004A207D"/>
    <w:rsid w:val="004A5472"/>
    <w:rsid w:val="004A6D86"/>
    <w:rsid w:val="004B4061"/>
    <w:rsid w:val="004B6D1C"/>
    <w:rsid w:val="004E71A3"/>
    <w:rsid w:val="004F29E0"/>
    <w:rsid w:val="004F610A"/>
    <w:rsid w:val="00502765"/>
    <w:rsid w:val="00505131"/>
    <w:rsid w:val="00514100"/>
    <w:rsid w:val="00514F4F"/>
    <w:rsid w:val="00516E0C"/>
    <w:rsid w:val="0051747D"/>
    <w:rsid w:val="005230C3"/>
    <w:rsid w:val="00523742"/>
    <w:rsid w:val="005422BA"/>
    <w:rsid w:val="00542BFE"/>
    <w:rsid w:val="00572DDF"/>
    <w:rsid w:val="005730B4"/>
    <w:rsid w:val="0058588C"/>
    <w:rsid w:val="005A38DD"/>
    <w:rsid w:val="005A7AC4"/>
    <w:rsid w:val="005B1EFC"/>
    <w:rsid w:val="005B684F"/>
    <w:rsid w:val="005C3592"/>
    <w:rsid w:val="005C53D8"/>
    <w:rsid w:val="005D69B0"/>
    <w:rsid w:val="005E46BA"/>
    <w:rsid w:val="005F7F67"/>
    <w:rsid w:val="00614CD2"/>
    <w:rsid w:val="00622D6D"/>
    <w:rsid w:val="00635CF6"/>
    <w:rsid w:val="00646E25"/>
    <w:rsid w:val="0065247B"/>
    <w:rsid w:val="006532D0"/>
    <w:rsid w:val="00660B94"/>
    <w:rsid w:val="006715C2"/>
    <w:rsid w:val="00673C6F"/>
    <w:rsid w:val="00674F8C"/>
    <w:rsid w:val="00687851"/>
    <w:rsid w:val="006979D0"/>
    <w:rsid w:val="006A0532"/>
    <w:rsid w:val="006B0E38"/>
    <w:rsid w:val="006C468F"/>
    <w:rsid w:val="006D51AE"/>
    <w:rsid w:val="006E114C"/>
    <w:rsid w:val="006E6EE8"/>
    <w:rsid w:val="006F257A"/>
    <w:rsid w:val="007009C8"/>
    <w:rsid w:val="007074F5"/>
    <w:rsid w:val="00707D56"/>
    <w:rsid w:val="00713BB9"/>
    <w:rsid w:val="0071512A"/>
    <w:rsid w:val="00716280"/>
    <w:rsid w:val="00716E63"/>
    <w:rsid w:val="00723F76"/>
    <w:rsid w:val="00727940"/>
    <w:rsid w:val="00733CC9"/>
    <w:rsid w:val="00740C80"/>
    <w:rsid w:val="00743243"/>
    <w:rsid w:val="00744202"/>
    <w:rsid w:val="00752F07"/>
    <w:rsid w:val="007606A3"/>
    <w:rsid w:val="00766FBE"/>
    <w:rsid w:val="0076718D"/>
    <w:rsid w:val="00773ADD"/>
    <w:rsid w:val="00776B31"/>
    <w:rsid w:val="0078488E"/>
    <w:rsid w:val="007A1335"/>
    <w:rsid w:val="007A5B40"/>
    <w:rsid w:val="007A7DA0"/>
    <w:rsid w:val="007B00A3"/>
    <w:rsid w:val="007E7B89"/>
    <w:rsid w:val="007E7D29"/>
    <w:rsid w:val="007F2C92"/>
    <w:rsid w:val="00803C8D"/>
    <w:rsid w:val="0080708E"/>
    <w:rsid w:val="00811D02"/>
    <w:rsid w:val="00813809"/>
    <w:rsid w:val="00832830"/>
    <w:rsid w:val="008518EA"/>
    <w:rsid w:val="00864C06"/>
    <w:rsid w:val="008658F7"/>
    <w:rsid w:val="00885097"/>
    <w:rsid w:val="00885CCA"/>
    <w:rsid w:val="008A05D7"/>
    <w:rsid w:val="008A2A20"/>
    <w:rsid w:val="008B2ED1"/>
    <w:rsid w:val="008B38C4"/>
    <w:rsid w:val="008B5674"/>
    <w:rsid w:val="00901E63"/>
    <w:rsid w:val="00902F2C"/>
    <w:rsid w:val="009066F1"/>
    <w:rsid w:val="00907F64"/>
    <w:rsid w:val="00914785"/>
    <w:rsid w:val="00916276"/>
    <w:rsid w:val="00930A7C"/>
    <w:rsid w:val="00931017"/>
    <w:rsid w:val="0093169B"/>
    <w:rsid w:val="00944C90"/>
    <w:rsid w:val="00952882"/>
    <w:rsid w:val="00956B44"/>
    <w:rsid w:val="00962224"/>
    <w:rsid w:val="00971E3F"/>
    <w:rsid w:val="009820B4"/>
    <w:rsid w:val="009858A2"/>
    <w:rsid w:val="009A1242"/>
    <w:rsid w:val="009A38BC"/>
    <w:rsid w:val="009B2BAA"/>
    <w:rsid w:val="009C3F6D"/>
    <w:rsid w:val="009C68E1"/>
    <w:rsid w:val="009E7E42"/>
    <w:rsid w:val="009F0B51"/>
    <w:rsid w:val="00A03C48"/>
    <w:rsid w:val="00A13B77"/>
    <w:rsid w:val="00A15AC1"/>
    <w:rsid w:val="00A21D3F"/>
    <w:rsid w:val="00A2581D"/>
    <w:rsid w:val="00A343A6"/>
    <w:rsid w:val="00A5127A"/>
    <w:rsid w:val="00A62E9B"/>
    <w:rsid w:val="00A86DC2"/>
    <w:rsid w:val="00A937C6"/>
    <w:rsid w:val="00A9607C"/>
    <w:rsid w:val="00A96788"/>
    <w:rsid w:val="00A96BDC"/>
    <w:rsid w:val="00AA2D72"/>
    <w:rsid w:val="00AA558A"/>
    <w:rsid w:val="00AA6E6B"/>
    <w:rsid w:val="00AB282E"/>
    <w:rsid w:val="00AC1ED1"/>
    <w:rsid w:val="00AC5421"/>
    <w:rsid w:val="00AC78C8"/>
    <w:rsid w:val="00AD338E"/>
    <w:rsid w:val="00AE033C"/>
    <w:rsid w:val="00AF17CC"/>
    <w:rsid w:val="00AF230F"/>
    <w:rsid w:val="00B003B0"/>
    <w:rsid w:val="00B224DB"/>
    <w:rsid w:val="00B239DD"/>
    <w:rsid w:val="00B504AC"/>
    <w:rsid w:val="00B62933"/>
    <w:rsid w:val="00B72DFB"/>
    <w:rsid w:val="00B80104"/>
    <w:rsid w:val="00B81B70"/>
    <w:rsid w:val="00B855DC"/>
    <w:rsid w:val="00B905B5"/>
    <w:rsid w:val="00BC3BFE"/>
    <w:rsid w:val="00BC6799"/>
    <w:rsid w:val="00BD37AD"/>
    <w:rsid w:val="00BE1505"/>
    <w:rsid w:val="00BE1EF3"/>
    <w:rsid w:val="00BE3406"/>
    <w:rsid w:val="00BE7C89"/>
    <w:rsid w:val="00BF303A"/>
    <w:rsid w:val="00BF3B6F"/>
    <w:rsid w:val="00C11D1B"/>
    <w:rsid w:val="00C15217"/>
    <w:rsid w:val="00C21946"/>
    <w:rsid w:val="00C21CE2"/>
    <w:rsid w:val="00C472BF"/>
    <w:rsid w:val="00C676A7"/>
    <w:rsid w:val="00C73B09"/>
    <w:rsid w:val="00C818DE"/>
    <w:rsid w:val="00C86A98"/>
    <w:rsid w:val="00C963F2"/>
    <w:rsid w:val="00C97F7E"/>
    <w:rsid w:val="00CC2B4D"/>
    <w:rsid w:val="00CC393D"/>
    <w:rsid w:val="00CC7FB5"/>
    <w:rsid w:val="00CD6839"/>
    <w:rsid w:val="00CF2CA7"/>
    <w:rsid w:val="00D05F85"/>
    <w:rsid w:val="00D05FA1"/>
    <w:rsid w:val="00D06F5F"/>
    <w:rsid w:val="00D1533D"/>
    <w:rsid w:val="00D363DF"/>
    <w:rsid w:val="00D44850"/>
    <w:rsid w:val="00D532FC"/>
    <w:rsid w:val="00D546FD"/>
    <w:rsid w:val="00D57B06"/>
    <w:rsid w:val="00D64ACF"/>
    <w:rsid w:val="00D86A32"/>
    <w:rsid w:val="00D9158A"/>
    <w:rsid w:val="00D95195"/>
    <w:rsid w:val="00DA0F4A"/>
    <w:rsid w:val="00DA54D2"/>
    <w:rsid w:val="00DA63ED"/>
    <w:rsid w:val="00DA7EEE"/>
    <w:rsid w:val="00DB2B07"/>
    <w:rsid w:val="00DB406D"/>
    <w:rsid w:val="00DB7818"/>
    <w:rsid w:val="00DE1120"/>
    <w:rsid w:val="00DE6C0B"/>
    <w:rsid w:val="00DF1C91"/>
    <w:rsid w:val="00DF5B9D"/>
    <w:rsid w:val="00E07ADE"/>
    <w:rsid w:val="00E14236"/>
    <w:rsid w:val="00E212C1"/>
    <w:rsid w:val="00E265E5"/>
    <w:rsid w:val="00E26B10"/>
    <w:rsid w:val="00E272F2"/>
    <w:rsid w:val="00E3669D"/>
    <w:rsid w:val="00E407CE"/>
    <w:rsid w:val="00E54504"/>
    <w:rsid w:val="00E56521"/>
    <w:rsid w:val="00E633E2"/>
    <w:rsid w:val="00E735FA"/>
    <w:rsid w:val="00E7483E"/>
    <w:rsid w:val="00E93D97"/>
    <w:rsid w:val="00E97629"/>
    <w:rsid w:val="00EA3194"/>
    <w:rsid w:val="00EB4EEE"/>
    <w:rsid w:val="00EB6CF9"/>
    <w:rsid w:val="00EC241D"/>
    <w:rsid w:val="00EC38AD"/>
    <w:rsid w:val="00EC3B6C"/>
    <w:rsid w:val="00EC7243"/>
    <w:rsid w:val="00ED015A"/>
    <w:rsid w:val="00ED16EC"/>
    <w:rsid w:val="00EE05BF"/>
    <w:rsid w:val="00EF0D2F"/>
    <w:rsid w:val="00EF0E26"/>
    <w:rsid w:val="00F213DA"/>
    <w:rsid w:val="00F23A84"/>
    <w:rsid w:val="00F34CAD"/>
    <w:rsid w:val="00F36F95"/>
    <w:rsid w:val="00F420D2"/>
    <w:rsid w:val="00F43CEF"/>
    <w:rsid w:val="00F60427"/>
    <w:rsid w:val="00F65DF1"/>
    <w:rsid w:val="00F67BC5"/>
    <w:rsid w:val="00F7089A"/>
    <w:rsid w:val="00F820C7"/>
    <w:rsid w:val="00F856AB"/>
    <w:rsid w:val="00F946A1"/>
    <w:rsid w:val="00FA099F"/>
    <w:rsid w:val="00FA2BA9"/>
    <w:rsid w:val="00FA3635"/>
    <w:rsid w:val="00FA7097"/>
    <w:rsid w:val="00FB1A14"/>
    <w:rsid w:val="00FB520F"/>
    <w:rsid w:val="00FB662E"/>
    <w:rsid w:val="00FB6E41"/>
    <w:rsid w:val="00FD09E0"/>
    <w:rsid w:val="00FF1B33"/>
    <w:rsid w:val="032DCC69"/>
    <w:rsid w:val="06CBF758"/>
    <w:rsid w:val="11B2BBD0"/>
    <w:rsid w:val="14A4537C"/>
    <w:rsid w:val="18EB6A1F"/>
    <w:rsid w:val="21C33627"/>
    <w:rsid w:val="23B4B61E"/>
    <w:rsid w:val="25826702"/>
    <w:rsid w:val="2C0AC18D"/>
    <w:rsid w:val="361FD43C"/>
    <w:rsid w:val="3A1665CE"/>
    <w:rsid w:val="3D80424F"/>
    <w:rsid w:val="41B64ED3"/>
    <w:rsid w:val="438243F6"/>
    <w:rsid w:val="4A1028CA"/>
    <w:rsid w:val="4D6D0B8C"/>
    <w:rsid w:val="516C5905"/>
    <w:rsid w:val="57D26383"/>
    <w:rsid w:val="5FCB3AD5"/>
    <w:rsid w:val="6125DEC7"/>
    <w:rsid w:val="645B752C"/>
    <w:rsid w:val="6618E898"/>
    <w:rsid w:val="671C0C77"/>
    <w:rsid w:val="67605532"/>
    <w:rsid w:val="6BD4B88E"/>
    <w:rsid w:val="6CF8E581"/>
    <w:rsid w:val="7252243F"/>
    <w:rsid w:val="7522A45F"/>
    <w:rsid w:val="7612898E"/>
    <w:rsid w:val="77294F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DC24D"/>
  <w15:chartTrackingRefBased/>
  <w15:docId w15:val="{8996E492-99B2-4B04-BFD1-279270BC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244"/>
    <w:pPr>
      <w:spacing w:before="120" w:line="312" w:lineRule="auto"/>
      <w:jc w:val="both"/>
    </w:pPr>
    <w:rPr>
      <w:rFonts w:ascii="Arial" w:hAnsi="Arial"/>
      <w:sz w:val="22"/>
      <w:szCs w:val="24"/>
    </w:rPr>
  </w:style>
  <w:style w:type="paragraph" w:styleId="Heading1">
    <w:name w:val="heading 1"/>
    <w:basedOn w:val="Normal"/>
    <w:next w:val="Normal"/>
    <w:link w:val="Heading1Char"/>
    <w:uiPriority w:val="1"/>
    <w:qFormat/>
    <w:rsid w:val="00660B94"/>
    <w:pPr>
      <w:keepNext/>
      <w:spacing w:after="12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3E12B5"/>
    <w:rPr>
      <w:rFonts w:cs="Times New Roman"/>
    </w:rPr>
  </w:style>
  <w:style w:type="paragraph" w:styleId="TOC1">
    <w:name w:val="toc 1"/>
    <w:basedOn w:val="Normal"/>
    <w:next w:val="Normal"/>
    <w:autoRedefine/>
    <w:uiPriority w:val="39"/>
    <w:rsid w:val="00514100"/>
  </w:style>
  <w:style w:type="paragraph" w:styleId="Header">
    <w:name w:val="header"/>
    <w:basedOn w:val="Normal"/>
    <w:link w:val="HeaderChar"/>
    <w:uiPriority w:val="99"/>
    <w:rsid w:val="005F7F67"/>
    <w:pPr>
      <w:tabs>
        <w:tab w:val="center" w:pos="4153"/>
        <w:tab w:val="right" w:pos="8306"/>
      </w:tabs>
    </w:pPr>
  </w:style>
  <w:style w:type="paragraph" w:styleId="Footer">
    <w:name w:val="footer"/>
    <w:basedOn w:val="Normal"/>
    <w:link w:val="FooterChar"/>
    <w:uiPriority w:val="99"/>
    <w:rsid w:val="005F7F67"/>
    <w:pPr>
      <w:tabs>
        <w:tab w:val="center" w:pos="4153"/>
        <w:tab w:val="right" w:pos="8306"/>
      </w:tabs>
    </w:pPr>
  </w:style>
  <w:style w:type="table" w:styleId="TableGrid">
    <w:name w:val="Table Grid"/>
    <w:basedOn w:val="TableNormal"/>
    <w:uiPriority w:val="39"/>
    <w:rsid w:val="0046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2BDD"/>
    <w:rPr>
      <w:sz w:val="16"/>
      <w:szCs w:val="16"/>
    </w:rPr>
  </w:style>
  <w:style w:type="paragraph" w:styleId="CommentText">
    <w:name w:val="annotation text"/>
    <w:basedOn w:val="Normal"/>
    <w:link w:val="CommentTextChar"/>
    <w:rsid w:val="00452BDD"/>
    <w:rPr>
      <w:sz w:val="20"/>
      <w:szCs w:val="20"/>
    </w:rPr>
  </w:style>
  <w:style w:type="character" w:customStyle="1" w:styleId="CommentTextChar">
    <w:name w:val="Comment Text Char"/>
    <w:basedOn w:val="DefaultParagraphFont"/>
    <w:link w:val="CommentText"/>
    <w:rsid w:val="00452BDD"/>
  </w:style>
  <w:style w:type="paragraph" w:styleId="BalloonText">
    <w:name w:val="Balloon Text"/>
    <w:basedOn w:val="Normal"/>
    <w:link w:val="BalloonTextChar"/>
    <w:rsid w:val="00452BDD"/>
    <w:rPr>
      <w:rFonts w:ascii="Segoe UI" w:hAnsi="Segoe UI" w:cs="Segoe UI"/>
      <w:sz w:val="18"/>
      <w:szCs w:val="18"/>
    </w:rPr>
  </w:style>
  <w:style w:type="character" w:customStyle="1" w:styleId="BalloonTextChar">
    <w:name w:val="Balloon Text Char"/>
    <w:link w:val="BalloonText"/>
    <w:rsid w:val="00452BDD"/>
    <w:rPr>
      <w:rFonts w:ascii="Segoe UI" w:hAnsi="Segoe UI" w:cs="Segoe UI"/>
      <w:sz w:val="18"/>
      <w:szCs w:val="18"/>
    </w:rPr>
  </w:style>
  <w:style w:type="character" w:customStyle="1" w:styleId="Heading1Char">
    <w:name w:val="Heading 1 Char"/>
    <w:link w:val="Heading1"/>
    <w:uiPriority w:val="1"/>
    <w:locked/>
    <w:rsid w:val="00660B94"/>
    <w:rPr>
      <w:rFonts w:ascii="Arial" w:hAnsi="Arial" w:cs="Arial"/>
      <w:b/>
      <w:bCs/>
      <w:kern w:val="32"/>
      <w:sz w:val="24"/>
      <w:szCs w:val="32"/>
    </w:rPr>
  </w:style>
  <w:style w:type="character" w:customStyle="1" w:styleId="FooterChar">
    <w:name w:val="Footer Char"/>
    <w:link w:val="Footer"/>
    <w:uiPriority w:val="99"/>
    <w:rsid w:val="00723F76"/>
    <w:rPr>
      <w:sz w:val="24"/>
      <w:szCs w:val="24"/>
    </w:rPr>
  </w:style>
  <w:style w:type="paragraph" w:styleId="TOCHeading">
    <w:name w:val="TOC Heading"/>
    <w:basedOn w:val="Heading1"/>
    <w:next w:val="Normal"/>
    <w:uiPriority w:val="39"/>
    <w:unhideWhenUsed/>
    <w:qFormat/>
    <w:rsid w:val="001D4AF4"/>
    <w:pPr>
      <w:keepLines/>
      <w:spacing w:after="0" w:line="259" w:lineRule="auto"/>
      <w:outlineLvl w:val="9"/>
    </w:pPr>
    <w:rPr>
      <w:rFonts w:ascii="Calibri Light" w:hAnsi="Calibri Light" w:cs="Times New Roman"/>
      <w:b w:val="0"/>
      <w:bCs w:val="0"/>
      <w:color w:val="2E74B5"/>
      <w:kern w:val="0"/>
      <w:lang w:val="en-US" w:eastAsia="en-US"/>
    </w:rPr>
  </w:style>
  <w:style w:type="character" w:styleId="Hyperlink">
    <w:name w:val="Hyperlink"/>
    <w:uiPriority w:val="99"/>
    <w:unhideWhenUsed/>
    <w:rsid w:val="001D4AF4"/>
    <w:rPr>
      <w:color w:val="0563C1"/>
      <w:u w:val="single"/>
    </w:rPr>
  </w:style>
  <w:style w:type="character" w:customStyle="1" w:styleId="HeaderChar">
    <w:name w:val="Header Char"/>
    <w:link w:val="Header"/>
    <w:uiPriority w:val="99"/>
    <w:rsid w:val="008A2A20"/>
    <w:rPr>
      <w:sz w:val="24"/>
      <w:szCs w:val="24"/>
    </w:rPr>
  </w:style>
  <w:style w:type="paragraph" w:styleId="ListParagraph">
    <w:name w:val="List Paragraph"/>
    <w:basedOn w:val="Normal"/>
    <w:uiPriority w:val="34"/>
    <w:qFormat/>
    <w:rsid w:val="00C97F7E"/>
    <w:pPr>
      <w:ind w:left="720"/>
      <w:contextualSpacing/>
    </w:pPr>
  </w:style>
  <w:style w:type="character" w:styleId="UnresolvedMention">
    <w:name w:val="Unresolved Mention"/>
    <w:basedOn w:val="DefaultParagraphFont"/>
    <w:uiPriority w:val="99"/>
    <w:semiHidden/>
    <w:unhideWhenUsed/>
    <w:rsid w:val="00C818DE"/>
    <w:rPr>
      <w:color w:val="605E5C"/>
      <w:shd w:val="clear" w:color="auto" w:fill="E1DFDD"/>
    </w:rPr>
  </w:style>
  <w:style w:type="paragraph" w:styleId="CommentSubject">
    <w:name w:val="annotation subject"/>
    <w:basedOn w:val="CommentText"/>
    <w:next w:val="CommentText"/>
    <w:link w:val="CommentSubjectChar"/>
    <w:rsid w:val="007F2C92"/>
    <w:pPr>
      <w:spacing w:line="240" w:lineRule="auto"/>
    </w:pPr>
    <w:rPr>
      <w:b/>
      <w:bCs/>
    </w:rPr>
  </w:style>
  <w:style w:type="character" w:customStyle="1" w:styleId="CommentSubjectChar">
    <w:name w:val="Comment Subject Char"/>
    <w:basedOn w:val="CommentTextChar"/>
    <w:link w:val="CommentSubject"/>
    <w:rsid w:val="007F2C92"/>
    <w:rPr>
      <w:rFonts w:ascii="Arial" w:hAnsi="Arial"/>
      <w:b/>
      <w:bCs/>
    </w:rPr>
  </w:style>
  <w:style w:type="paragraph" w:styleId="Revision">
    <w:name w:val="Revision"/>
    <w:hidden/>
    <w:uiPriority w:val="99"/>
    <w:semiHidden/>
    <w:rsid w:val="004663A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4584">
      <w:bodyDiv w:val="1"/>
      <w:marLeft w:val="0"/>
      <w:marRight w:val="0"/>
      <w:marTop w:val="0"/>
      <w:marBottom w:val="0"/>
      <w:divBdr>
        <w:top w:val="none" w:sz="0" w:space="0" w:color="auto"/>
        <w:left w:val="none" w:sz="0" w:space="0" w:color="auto"/>
        <w:bottom w:val="none" w:sz="0" w:space="0" w:color="auto"/>
        <w:right w:val="none" w:sz="0" w:space="0" w:color="auto"/>
      </w:divBdr>
      <w:divsChild>
        <w:div w:id="43411256">
          <w:marLeft w:val="0"/>
          <w:marRight w:val="0"/>
          <w:marTop w:val="0"/>
          <w:marBottom w:val="0"/>
          <w:divBdr>
            <w:top w:val="none" w:sz="0" w:space="0" w:color="auto"/>
            <w:left w:val="none" w:sz="0" w:space="0" w:color="auto"/>
            <w:bottom w:val="none" w:sz="0" w:space="0" w:color="auto"/>
            <w:right w:val="none" w:sz="0" w:space="0" w:color="auto"/>
          </w:divBdr>
        </w:div>
        <w:div w:id="2054575070">
          <w:marLeft w:val="0"/>
          <w:marRight w:val="0"/>
          <w:marTop w:val="0"/>
          <w:marBottom w:val="0"/>
          <w:divBdr>
            <w:top w:val="none" w:sz="0" w:space="0" w:color="auto"/>
            <w:left w:val="none" w:sz="0" w:space="0" w:color="auto"/>
            <w:bottom w:val="none" w:sz="0" w:space="0" w:color="auto"/>
            <w:right w:val="none" w:sz="0" w:space="0" w:color="auto"/>
          </w:divBdr>
        </w:div>
      </w:divsChild>
    </w:div>
    <w:div w:id="1255624390">
      <w:bodyDiv w:val="1"/>
      <w:marLeft w:val="0"/>
      <w:marRight w:val="0"/>
      <w:marTop w:val="0"/>
      <w:marBottom w:val="0"/>
      <w:divBdr>
        <w:top w:val="none" w:sz="0" w:space="0" w:color="auto"/>
        <w:left w:val="none" w:sz="0" w:space="0" w:color="auto"/>
        <w:bottom w:val="none" w:sz="0" w:space="0" w:color="auto"/>
        <w:right w:val="none" w:sz="0" w:space="0" w:color="auto"/>
      </w:divBdr>
    </w:div>
    <w:div w:id="1854105375">
      <w:bodyDiv w:val="1"/>
      <w:marLeft w:val="0"/>
      <w:marRight w:val="0"/>
      <w:marTop w:val="0"/>
      <w:marBottom w:val="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 w:id="1658873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fnhc.org.je/procedure-library/" TargetMode="External"/><Relationship Id="rId26" Type="http://schemas.openxmlformats.org/officeDocument/2006/relationships/hyperlink" Target="https://www.who.int/news/item/10-06-2020-who-ilo-global-framework-for-national-occupational-health-programmes-for-health-workers" TargetMode="External"/><Relationship Id="rId3" Type="http://schemas.openxmlformats.org/officeDocument/2006/relationships/customXml" Target="../customXml/item3.xml"/><Relationship Id="rId21" Type="http://schemas.openxmlformats.org/officeDocument/2006/relationships/hyperlink" Target="https://www.hse.gov.uk/biosafety/blood-borne-viruses/how-deal-exposure-incident.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nhc.org.je/procedure-library/" TargetMode="External"/><Relationship Id="rId25" Type="http://schemas.openxmlformats.org/officeDocument/2006/relationships/hyperlink" Target="https://www.gov.uk/government/publications/bloodborne-viruses-eye-of-the-needl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dickyricky.com/Medicine/Papers/2015_08_01%20BMJ%20Management%20of%20sharps%20injuri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cn.org.uk/Professional-Development/publications/rcn-sharps-safety-uk-pub-010-596"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bmj.com/content/351/bmj.h3733%20Last%20accessed%2013/01/2025"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nhc.app.clinicalskills.net/organisation_user/organisations/226/content_view/sections/1/categories/1/procedures/5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assets.publishing.service.gov.uk/government/uploads/system/uploads/attachment_data/file/835888/Guidance_on_management_of_potential_exposure_to_blood__2_.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8" ma:contentTypeDescription="Create a new document." ma:contentTypeScope="" ma:versionID="b0ff11fe71f12decf1580d67a049d125">
  <xsd:schema xmlns:xsd="http://www.w3.org/2001/XMLSchema" xmlns:xs="http://www.w3.org/2001/XMLSchema" xmlns:p="http://schemas.microsoft.com/office/2006/metadata/properties" xmlns:ns2="bb47b9b4-3c1d-49f2-936e-a74394817770" targetNamespace="http://schemas.microsoft.com/office/2006/metadata/properties" ma:root="true" ma:fieldsID="285530222478a07e4db963c9983f5bb5" ns2:_="">
    <xsd:import namespace="bb47b9b4-3c1d-49f2-936e-a743948177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MovetoMasterfile xmlns="bb47b9b4-3c1d-49f2-936e-a74394817770">false</MovetoMasterfi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46838-785E-4284-B34D-B87328FAD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78654-F0E5-48D0-B7F6-8229C9B38406}">
  <ds:schemaRefs>
    <ds:schemaRef ds:uri="http://schemas.microsoft.com/sharepoint/v3/contenttype/forms"/>
  </ds:schemaRefs>
</ds:datastoreItem>
</file>

<file path=customXml/itemProps3.xml><?xml version="1.0" encoding="utf-8"?>
<ds:datastoreItem xmlns:ds="http://schemas.openxmlformats.org/officeDocument/2006/customXml" ds:itemID="{FB35A08D-838A-4051-B0E5-B2BFC73A9411}">
  <ds:schemaRefs>
    <ds:schemaRef ds:uri="http://schemas.microsoft.com/office/2006/metadata/properties"/>
    <ds:schemaRef ds:uri="http://schemas.microsoft.com/office/infopath/2007/PartnerControls"/>
    <ds:schemaRef ds:uri="bb47b9b4-3c1d-49f2-936e-a74394817770"/>
  </ds:schemaRefs>
</ds:datastoreItem>
</file>

<file path=customXml/itemProps4.xml><?xml version="1.0" encoding="utf-8"?>
<ds:datastoreItem xmlns:ds="http://schemas.openxmlformats.org/officeDocument/2006/customXml" ds:itemID="{B1DBD1A0-F543-4D7A-AA98-A43C12BF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1811</Words>
  <Characters>10326</Characters>
  <Application>Microsoft Office Word</Application>
  <DocSecurity>4</DocSecurity>
  <Lines>86</Lines>
  <Paragraphs>24</Paragraphs>
  <ScaleCrop>false</ScaleCrop>
  <Company>States of Jersey</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Snowie</dc:creator>
  <cp:keywords/>
  <dc:description/>
  <cp:lastModifiedBy>Rachel Foster (FNHC)</cp:lastModifiedBy>
  <cp:revision>161</cp:revision>
  <cp:lastPrinted>2024-01-17T11:20:00Z</cp:lastPrinted>
  <dcterms:created xsi:type="dcterms:W3CDTF">2025-01-09T03:33:00Z</dcterms:created>
  <dcterms:modified xsi:type="dcterms:W3CDTF">2025-02-05T10:58:00Z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190800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